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</w:p>
    <w:p>
      <w:pPr>
        <w:pStyle w:val="14"/>
        <w:jc w:val="center"/>
      </w:pPr>
      <w:r>
        <w:t xml:space="preserve">Annual Performance Report</w:t>
      </w:r>
      <w:r/>
    </w:p>
    <w:p>
      <w:pPr>
        <w:jc w:val="center"/>
      </w:pPr>
      <w:r>
        <w:rPr>
          <w:color w:val="1a56db"/>
          <w:sz w:val="32"/>
        </w:rPr>
        <w:t xml:space="preserve">Fiscal Year 2025</w:t>
      </w:r>
      <w:r/>
    </w:p>
    <w:p>
      <w:pPr>
        <w:jc w:val="center"/>
      </w:pPr>
      <w:r>
        <w:rPr>
          <w:i/>
          <w:color w:val="666666"/>
        </w:rPr>
        <w:t xml:space="preserve">Prepared by the Strategy Office</w:t>
      </w:r>
      <w:r/>
    </w:p>
    <w:p>
      <w:r>
        <w:br w:type="page" w:clear="all"/>
      </w:r>
      <w:r/>
    </w:p>
    <w:p>
      <w:pPr>
        <w:pStyle w:val="14"/>
      </w:pPr>
      <w:r>
        <w:t xml:space="preserve">Executive Summary</w:t>
      </w:r>
      <w:r/>
    </w:p>
    <w:p>
      <w:r>
        <w:t xml:space="preserve">This report presents a comprehensive analysis of our performance across all business units during fiscal year 2025. Key highlights include record revenue growth of 23%, expansion into three new markets, and a 15% improvement in customer satisfaction scores.</w:t>
      </w:r>
      <w:r/>
    </w:p>
    <w:p>
      <w:r>
        <w:t xml:space="preserve">The following sections cover financial results, operational metrics, strategic initiatives, and the outlook for fiscal year 2026. All figures are in USD millions unless stated otherwise.</w:t>
      </w:r>
      <w:r/>
    </w:p>
    <w:p>
      <w:r>
        <w:br w:type="page" w:clear="all"/>
      </w:r>
      <w:r/>
    </w:p>
    <w:p>
      <w:pPr>
        <w:pStyle w:val="14"/>
      </w:pPr>
      <w:r>
        <w:t xml:space="preserve">Financial Results</w:t>
      </w:r>
      <w:r/>
    </w:p>
    <w:p>
      <w:pPr>
        <w:pStyle w:val="16"/>
      </w:pPr>
      <w:r>
        <w:t xml:space="preserve">Revenue Overview</w:t>
      </w:r>
      <w:r/>
    </w:p>
    <w:p>
      <w:r>
        <w:t xml:space="preserve">Total revenue for FY2025 reached $4.87B, compared to $3.96B in FY2024, representing a 23% year-over-year increase. The growth was driven primarily by the Enterprise segment and the newly launched Cloud Services division.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blPrEx/>
        <w:trPr/>
        <w:tc>
          <w:tcPr>
            <w:shd w:val="clear" w:color="1a56db" w:fill="1a56db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Business Unit</w:t>
            </w:r>
            <w:r/>
          </w:p>
        </w:tc>
        <w:tc>
          <w:tcPr>
            <w:shd w:val="clear" w:color="1a56db" w:fill="1a56db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FY2024 ($M)</w:t>
            </w:r>
            <w:r/>
          </w:p>
        </w:tc>
        <w:tc>
          <w:tcPr>
            <w:shd w:val="clear" w:color="1a56db" w:fill="1a56db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FY2025 ($M)</w:t>
            </w:r>
            <w:r/>
          </w:p>
        </w:tc>
        <w:tc>
          <w:tcPr>
            <w:shd w:val="clear" w:color="1a56db" w:fill="1a56db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ffffff"/>
              </w:rPr>
              <w:t xml:space="preserve">Growth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Enterprise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1,820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2,340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color w:val="0f6b45"/>
              </w:rPr>
              <w:t xml:space="preserve">+28.6%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SMB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1,120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1,290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color w:val="0f6b45"/>
              </w:rPr>
              <w:t xml:space="preserve">+15.2%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Cloud Services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490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810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color w:val="0f6b45"/>
              </w:rPr>
              <w:t xml:space="preserve">+65.3%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Legacy Products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530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t xml:space="preserve">430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color w:val="c41f1f"/>
              </w:rPr>
              <w:t xml:space="preserve">−18.9%</w:t>
            </w:r>
            <w:r/>
          </w:p>
        </w:tc>
      </w:tr>
      <w:tr>
        <w:tblPrEx/>
        <w:trPr/>
        <w:tc>
          <w:tcPr>
            <w:shd w:val="clear" w:color="f0f4ff" w:fill="f0f4ff"/>
            <w:textDirection w:val="lrTb"/>
            <w:noWrap w:val="false"/>
          </w:tcPr>
          <w:p>
            <w:r/>
          </w:p>
          <w:p>
            <w:r>
              <w:rPr>
                <w:b/>
              </w:rPr>
              <w:t xml:space="preserve">Total</w:t>
            </w:r>
            <w:r/>
          </w:p>
        </w:tc>
        <w:tc>
          <w:tcPr>
            <w:shd w:val="clear" w:color="f0f4ff" w:fill="f0f4ff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3,960</w:t>
            </w:r>
            <w:r/>
          </w:p>
        </w:tc>
        <w:tc>
          <w:tcPr>
            <w:shd w:val="clear" w:color="f0f4ff" w:fill="f0f4ff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</w:rPr>
              <w:t xml:space="preserve">4,870</w:t>
            </w:r>
            <w:r/>
          </w:p>
        </w:tc>
        <w:tc>
          <w:tcPr>
            <w:shd w:val="clear" w:color="f0f4ff" w:fill="f0f4ff"/>
            <w:textDirection w:val="lrTb"/>
            <w:noWrap w:val="false"/>
          </w:tcPr>
          <w:p>
            <w:r/>
          </w:p>
          <w:p>
            <w:pPr>
              <w:jc w:val="right"/>
            </w:pPr>
            <w:r>
              <w:rPr>
                <w:b/>
                <w:color w:val="0f6b45"/>
              </w:rPr>
              <w:t xml:space="preserve">+23.0%</w:t>
            </w:r>
            <w:r/>
          </w:p>
        </w:tc>
      </w:tr>
    </w:tbl>
    <w:p>
      <w:r/>
    </w:p>
    <w:p>
      <w:r>
        <w:br w:type="page" w:clear="all"/>
      </w:r>
      <w:r/>
    </w:p>
    <w:p>
      <w:pPr>
        <w:pStyle w:val="14"/>
      </w:pPr>
      <w:r>
        <w:t xml:space="preserve">Operational Metrics</w:t>
      </w:r>
      <w:r/>
    </w:p>
    <w:p>
      <w:r>
        <w:t xml:space="preserve">Operational efficiency improved significantly across all tracked dimensions. Employee headcount grew from 12,400 to 14,800 (+19%), while revenue per employee increased by 3.5% to $329K, reflecting productivity gains from the automation programme launched in Q2.</w:t>
      </w:r>
      <w:r/>
    </w:p>
    <w:p>
      <w:pPr>
        <w:pStyle w:val="16"/>
      </w:pPr>
      <w:r>
        <w:t xml:space="preserve">Key Performance Indicators</w:t>
      </w:r>
      <w:r/>
    </w:p>
    <w:p>
      <w:pPr>
        <w:numPr>
          <w:ilvl w:val="0"/>
          <w:numId w:val="1"/>
        </w:numPr>
      </w:pPr>
      <w:r>
        <w:t xml:space="preserve">Customer Satisfaction (NPS): 67 → 77  (+10 points)</w:t>
      </w:r>
      <w:r/>
    </w:p>
    <w:p>
      <w:pPr>
        <w:numPr>
          <w:ilvl w:val="0"/>
          <w:numId w:val="1"/>
        </w:numPr>
      </w:pPr>
      <w:r>
        <w:t xml:space="preserve">Churn Rate: 8.4% → 6.1%  (−2.3 pp)</w:t>
      </w:r>
      <w:r/>
    </w:p>
    <w:p>
      <w:pPr>
        <w:numPr>
          <w:ilvl w:val="0"/>
          <w:numId w:val="1"/>
        </w:numPr>
      </w:pPr>
      <w:r>
        <w:t xml:space="preserve">Average Deal Size: $42K → $51K  (+21%)</w:t>
      </w:r>
      <w:r/>
    </w:p>
    <w:p>
      <w:pPr>
        <w:numPr>
          <w:ilvl w:val="0"/>
          <w:numId w:val="1"/>
        </w:numPr>
      </w:pPr>
      <w:r>
        <w:t xml:space="preserve">Time-to-Close: 47 days → 38 days  (−19%)</w:t>
      </w:r>
      <w:r/>
    </w:p>
    <w:p>
      <w:pPr>
        <w:numPr>
          <w:ilvl w:val="0"/>
          <w:numId w:val="1"/>
        </w:numPr>
      </w:pPr>
      <w:r>
        <w:t xml:space="preserve">Support Ticket Resolution: 4.2 h → 2.8 h  (−33%)</w:t>
      </w:r>
      <w:r/>
    </w:p>
    <w:p>
      <w:r>
        <w:br w:type="page" w:clear="all"/>
      </w:r>
      <w:r/>
    </w:p>
    <w:p>
      <w:pPr>
        <w:pStyle w:val="14"/>
      </w:pPr>
      <w:r>
        <w:t xml:space="preserve">Outlook for FY2026</w:t>
      </w:r>
      <w:r/>
    </w:p>
    <w:p>
      <w:r>
        <w:t xml:space="preserve">The Company enters FY2026 with strong momentum and a healthy balance sheet. Management targets revenue of $5.8–6.0B (19–23% growth) supported by three strategic pillars:</w:t>
      </w:r>
      <w:r/>
    </w:p>
    <w:p>
      <w:pPr>
        <w:numPr>
          <w:ilvl w:val="0"/>
          <w:numId w:val="2"/>
        </w:numPr>
      </w:pPr>
      <w:r>
        <w:rPr>
          <w:b/>
        </w:rPr>
        <w:t xml:space="preserve">Cloud-first transition: </w:t>
      </w:r>
      <w:r>
        <w:t xml:space="preserve">Migrate 60% of Enterprise customers to the Cloud platform by Q4 2026.</w:t>
      </w:r>
      <w:r/>
    </w:p>
    <w:p>
      <w:pPr>
        <w:numPr>
          <w:ilvl w:val="0"/>
          <w:numId w:val="2"/>
        </w:numPr>
      </w:pPr>
      <w:r>
        <w:rPr>
          <w:b/>
        </w:rPr>
        <w:t xml:space="preserve">Geographic expansion: </w:t>
      </w:r>
      <w:r>
        <w:t xml:space="preserve">Open offices in Singapore and São Paulo; target $200M ARR from APAC and LATAM.</w:t>
      </w:r>
      <w:r/>
    </w:p>
    <w:p>
      <w:pPr>
        <w:numPr>
          <w:ilvl w:val="0"/>
          <w:numId w:val="2"/>
        </w:numPr>
      </w:pPr>
      <w:r>
        <w:rPr>
          <w:b/>
        </w:rPr>
        <w:t xml:space="preserve">AI-powered products: </w:t>
      </w:r>
      <w:r>
        <w:t xml:space="preserve">Launch the AI Insights suite (Beta Q1, GA Q3) with projected first-year revenue of $120M.</w:t>
      </w:r>
      <w:r/>
    </w:p>
    <w:p>
      <w:r>
        <w:t xml:space="preserve">Risk factors include macroeconomic headwinds, competitive pricing pressure in the SMB segment, and integration risk from the planned acquisition of DataBridge Inc. (pending regulatory approval).</w:t>
      </w:r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/>
  <w:font w:name="Courier New"/>
  <w:font w:name="Symbol"/>
  <w:font w:name="Liberation Sans"/>
  <w:font w:name="Calibri"/>
  <w:font w:name="Times New Roman"/>
  <w:font w:name="Cambria"/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</w:p>
  <w:p>
    <w:pPr>
      <w:jc w:val="center"/>
    </w:pPr>
    <w:r>
      <w:rPr>
        <w:i/>
        <w:color w:val="888888"/>
        <w:sz w:val="18"/>
      </w:rPr>
      <w:t xml:space="preserve">Acme Corp — Confidential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</w:p>
  <w:p>
    <w:pPr>
      <w:jc w:val="right"/>
    </w:pPr>
    <w:r>
      <w:rPr>
        <w:color w:val="444444"/>
        <w:sz w:val="20"/>
      </w:rPr>
      <w:t xml:space="preserve">Page </w:t>
    </w:r>
    <w:fldSimple w:instr="PAGE \* MERGEFORMAT">
      <w:r>
        <w:rPr>
          <w:color w:val="444444"/>
          <w:sz w:val="20"/>
        </w:rPr>
        <w:t xml:space="preserve">1</w:t>
      </w:r>
    </w:fldSimple>
    <w:r>
      <w:rPr>
        <w:color w:val="444444"/>
        <w:sz w:val="20"/>
      </w:rPr>
    </w:r>
    <w:r>
      <w:rPr>
        <w:color w:val="444444"/>
        <w:sz w:val="20"/>
      </w:rPr>
      <w:t xml:space="preserve"> of </w:t>
    </w:r>
    <w:fldSimple w:instr="NUMPAGES \* MERGEFORMAT">
      <w:r>
        <w:rPr>
          <w:color w:val="444444"/>
          <w:sz w:val="20"/>
        </w:rPr>
        <w:t xml:space="preserve">1</w:t>
      </w:r>
    </w:fldSimple>
    <w:r>
      <w:rPr>
        <w:color w:val="444444"/>
        <w:sz w:val="2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x420x37x2Dx41Ex444x438x441/2026.1.1.1805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Unknown.User</cp:lastModifiedBy>
  <cp:revision>1</cp:revision>
  <dcterms:modified xsi:type="dcterms:W3CDTF">2026-04-28T21:31:22Z</dcterms:modified>
</cp:coreProperties>
</file>