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/>
    </w:p>
    <w:p>
      <w:pPr>
        <w:pStyle w:val="14"/>
        <w:jc w:val="center"/>
      </w:pPr>
      <w:r>
        <w:t xml:space="preserve">Vendor Proposal</w:t>
      </w:r>
      <w:r>
        <w:br/>
        <w:t xml:space="preserve">Submitted by: </w:t>
      </w:r>
      <w:fldSimple w:instr="MERGEFIELD VendorName">
        <w:r>
          <w:t xml:space="preserve">«</w:t>
        </w:r>
        <w:r>
          <w:t xml:space="preserve">VendorName</w:t>
        </w:r>
        <w:r>
          <w:t xml:space="preserve">»</w:t>
        </w:r>
      </w:fldSimple>
      <w:r/>
    </w:p>
    <w:p>
      <w:pPr>
        <w:jc w:val="center"/>
      </w:pPr>
      <w:r>
        <w:rPr>
          <w:color w:val="555555"/>
          <w:sz w:val="22"/>
        </w:rPr>
        <w:t xml:space="preserve">Prepared for: </w:t>
      </w:r>
      <w:fldSimple w:instr="MERGEFIELD ClientName">
        <w:r>
          <w:t xml:space="preserve">«</w:t>
        </w:r>
        <w:r>
          <w:t xml:space="preserve">ClientName</w:t>
        </w:r>
        <w:r>
          <w:t xml:space="preserve">»</w:t>
        </w:r>
      </w:fldSimple>
      <w:r>
        <w:rPr>
          <w:color w:val="555555"/>
          <w:sz w:val="22"/>
        </w:rPr>
        <w:t xml:space="preserve"> | Date: </w:t>
      </w:r>
      <w:fldSimple w:instr="MERGEFIELD ProposalDate">
        <w:r>
          <w:t xml:space="preserve">«</w:t>
        </w:r>
        <w:r>
          <w:t xml:space="preserve">ProposalDate</w:t>
        </w:r>
        <w:r>
          <w:t xml:space="preserve">»</w:t>
        </w:r>
      </w:fldSimple>
      <w:r/>
    </w:p>
    <w:p>
      <w:pPr>
        <w:jc w:val="center"/>
      </w:pPr>
      <w:r>
        <w:rPr>
          <w:b/>
          <w:color w:val="17375e"/>
        </w:rPr>
        <w:t xml:space="preserve">Contract Value: </w:t>
      </w:r>
      <w:fldSimple w:instr="MERGEFIELD ContractValue">
        <w:r>
          <w:t xml:space="preserve">«</w:t>
        </w:r>
        <w:r>
          <w:t xml:space="preserve">ContractValue</w:t>
        </w:r>
        <w:r>
          <w:t xml:space="preserve">»</w:t>
        </w:r>
      </w:fldSimple>
      <w:r>
        <w:rPr>
          <w:b/>
          <w:color w:val="17375e"/>
        </w:rPr>
        <w:t xml:space="preserve">  |  Term: </w:t>
      </w:r>
      <w:fldSimple w:instr="MERGEFIELD ContractTerm">
        <w:r>
          <w:t xml:space="preserve">«</w:t>
        </w:r>
        <w:r>
          <w:t xml:space="preserve">ContractTerm</w:t>
        </w:r>
        <w:r>
          <w:t xml:space="preserve">»</w:t>
        </w:r>
      </w:fldSimple>
      <w:r/>
    </w:p>
    <w:p>
      <w:r>
        <w:br w:type="page" w:clear="all"/>
      </w:r>
      <w:r/>
    </w:p>
    <w:p>
      <w:pPr>
        <w:pStyle w:val="14"/>
      </w:pPr>
      <w:r/>
      <w:bookmarkStart w:id="1" w:name="sec_exec"/>
      <w:r>
        <w:t xml:space="preserve">1.</w:t>
      </w:r>
      <w:bookmarkEnd w:id="1"/>
      <w:r>
        <w:t xml:space="preserve"> Executive Summary</w:t>
      </w:r>
      <w:r/>
    </w:p>
    <w:p>
      <w:pPr>
        <w:jc w:val="both"/>
      </w:pPr>
      <w:fldSimple w:instr="MERGEFIELD VendorName">
        <w:r>
          <w:t xml:space="preserve">«</w:t>
        </w:r>
        <w:r>
          <w:t xml:space="preserve">VendorName</w:t>
        </w:r>
        <w:r>
          <w:t xml:space="preserve">»</w:t>
        </w:r>
      </w:fldSimple>
      <w:r>
        <w:t xml:space="preserve"> is pleased to submit this proposal to </w:t>
      </w:r>
      <w:fldSimple w:instr="MERGEFIELD ClientName">
        <w:r>
          <w:t xml:space="preserve">«</w:t>
        </w:r>
        <w:r>
          <w:t xml:space="preserve">ClientName</w:t>
        </w:r>
        <w:r>
          <w:t xml:space="preserve">»</w:t>
        </w:r>
      </w:fldSimple>
      <w:r>
        <w:t xml:space="preserve">. We bring deep expertise in the required domain and a proven track record of on-time, on-budget delivery. The proposed solution addresses all stated requirements as detailed in the sections that follow.</w:t>
      </w:r>
      <w:r/>
    </w:p>
    <w:p>
      <w:pPr>
        <w:pStyle w:val="14"/>
      </w:pPr>
      <w:r/>
      <w:bookmarkStart w:id="2" w:name="sec_scope"/>
      <w:r>
        <w:t xml:space="preserve">2.</w:t>
      </w:r>
      <w:bookmarkEnd w:id="2"/>
      <w:r>
        <w:t xml:space="preserve"> Scope of Work</w:t>
      </w:r>
      <w:r/>
    </w:p>
    <w:p>
      <w:pPr>
        <w:jc w:val="both"/>
      </w:pPr>
      <w:r>
        <w:t xml:space="preserve">The engagement covers the following deliverables, grouped into three phases.</w:t>
      </w:r>
      <w:r/>
    </w:p>
    <w:p>
      <w:pPr>
        <w:pStyle w:val="16"/>
      </w:pPr>
      <w:r/>
      <w:bookmarkStart w:id="3" w:name="sec_phase1"/>
      <w:r>
        <w:t xml:space="preserve">2.</w:t>
      </w:r>
      <w:bookmarkEnd w:id="3"/>
      <w:r>
        <w:t xml:space="preserve">1 Phase 1 — Discovery &amp; Design</w:t>
      </w:r>
      <w:r/>
    </w:p>
    <w:p>
      <w:pPr>
        <w:numPr>
          <w:ilvl w:val="0"/>
          <w:numId w:val="1"/>
        </w:numPr>
      </w:pPr>
      <w:r>
        <w:t xml:space="preserve">Stakeholder interviews and requirements elicitation</w:t>
      </w:r>
      <w:r/>
    </w:p>
    <w:p>
      <w:pPr>
        <w:numPr>
          <w:ilvl w:val="0"/>
          <w:numId w:val="1"/>
        </w:numPr>
      </w:pPr>
      <w:r>
        <w:t xml:space="preserve">Current-state architecture review</w:t>
      </w:r>
      <w:r/>
    </w:p>
    <w:p>
      <w:pPr>
        <w:numPr>
          <w:ilvl w:val="0"/>
          <w:numId w:val="1"/>
        </w:numPr>
      </w:pPr>
      <w:r>
        <w:t xml:space="preserve">Target-state blueprint and gap analysis</w:t>
      </w:r>
      <w:r/>
    </w:p>
    <w:p>
      <w:pPr>
        <w:numPr>
          <w:ilvl w:val="0"/>
          <w:numId w:val="1"/>
        </w:numPr>
      </w:pPr>
      <w:r>
        <w:t xml:space="preserve">Project plan and risk register</w:t>
      </w:r>
      <w:r/>
    </w:p>
    <w:p>
      <w:pPr>
        <w:pStyle w:val="16"/>
      </w:pPr>
      <w:r/>
      <w:bookmarkStart w:id="4" w:name="sec_phase2"/>
      <w:r>
        <w:t xml:space="preserve">2.</w:t>
      </w:r>
      <w:bookmarkEnd w:id="4"/>
      <w:r>
        <w:t xml:space="preserve">2 Phase 2 — Implementation</w:t>
      </w:r>
      <w:r/>
    </w:p>
    <w:p>
      <w:pPr>
        <w:numPr>
          <w:ilvl w:val="0"/>
          <w:numId w:val="2"/>
        </w:numPr>
      </w:pPr>
      <w:r>
        <w:t xml:space="preserve">Environment setup and CI/CD pipeline</w:t>
      </w:r>
      <w:r/>
    </w:p>
    <w:p>
      <w:pPr>
        <w:numPr>
          <w:ilvl w:val="0"/>
          <w:numId w:val="2"/>
        </w:numPr>
      </w:pPr>
      <w:r>
        <w:t xml:space="preserve">Core module development (4 sprints, 2 weeks each)</w:t>
      </w:r>
      <w:r/>
    </w:p>
    <w:p>
      <w:pPr>
        <w:numPr>
          <w:ilvl w:val="0"/>
          <w:numId w:val="2"/>
        </w:numPr>
      </w:pPr>
      <w:r>
        <w:t xml:space="preserve">Integration with client systems</w:t>
      </w:r>
      <w:r/>
    </w:p>
    <w:p>
      <w:pPr>
        <w:numPr>
          <w:ilvl w:val="0"/>
          <w:numId w:val="2"/>
        </w:numPr>
      </w:pPr>
      <w:r>
        <w:t xml:space="preserve">Quality assurance and user acceptance testing</w:t>
      </w:r>
      <w:r/>
    </w:p>
    <w:p>
      <w:pPr>
        <w:pStyle w:val="16"/>
      </w:pPr>
      <w:r/>
      <w:bookmarkStart w:id="5" w:name="sec_phase3"/>
      <w:r>
        <w:t xml:space="preserve">2.</w:t>
      </w:r>
      <w:bookmarkEnd w:id="5"/>
      <w:r>
        <w:t xml:space="preserve">3 Phase 3 — Handover &amp; Support</w:t>
      </w:r>
      <w:r/>
    </w:p>
    <w:p>
      <w:pPr>
        <w:numPr>
          <w:ilvl w:val="0"/>
          <w:numId w:val="1"/>
        </w:numPr>
      </w:pPr>
      <w:r>
        <w:t xml:space="preserve">Knowledge transfer workshops (2 days)</w:t>
      </w:r>
      <w:r/>
    </w:p>
    <w:p>
      <w:pPr>
        <w:numPr>
          <w:ilvl w:val="0"/>
          <w:numId w:val="1"/>
        </w:numPr>
      </w:pPr>
      <w:r>
        <w:t xml:space="preserve">Documentation package (user, admin, API)</w:t>
      </w:r>
      <w:r/>
    </w:p>
    <w:p>
      <w:pPr>
        <w:numPr>
          <w:ilvl w:val="0"/>
          <w:numId w:val="1"/>
        </w:numPr>
      </w:pPr>
      <w:r>
        <w:t xml:space="preserve">30-day hypercare support period</w:t>
      </w:r>
      <w:r/>
    </w:p>
    <w:p>
      <w:pPr>
        <w:pStyle w:val="14"/>
      </w:pPr>
      <w:r/>
      <w:bookmarkStart w:id="6" w:name="sec_commercial"/>
      <w:r>
        <w:t xml:space="preserve">3.</w:t>
      </w:r>
      <w:bookmarkEnd w:id="6"/>
      <w:r>
        <w:t xml:space="preserve"> Commercial Terms</w:t>
      </w:r>
      <w:r/>
    </w:p>
    <w:p>
      <w:pPr>
        <w:pStyle w:val="16"/>
      </w:pPr>
      <w:r>
        <w:t xml:space="preserve">3.1 Pricing Summary</w:t>
      </w:r>
      <w:r/>
    </w:p>
    <w:tbl>
      <w:tblPr>
        <w:tblLook w:val="04A0" w:firstRow="1" w:lastRow="0" w:firstColumn="1" w:lastColumn="0" w:noHBand="0" w:noVBand="1"/>
      </w:tblPr>
      <w:tblGrid>
        <w:gridCol w:w="1134"/>
        <w:gridCol w:w="1134"/>
        <w:gridCol w:w="1134"/>
      </w:tblGrid>
      <w:tr>
        <w:tblPrEx/>
        <w:trPr/>
        <w:tc>
          <w:tcPr>
            <w:shd w:val="clear" w:color="17375e" w:fill="17375e"/>
            <w:textDirection w:val="lrTb"/>
            <w:noWrap w:val="false"/>
          </w:tcPr>
          <w:p>
            <w:r/>
          </w:p>
          <w:p>
            <w:r>
              <w:rPr>
                <w:b/>
                <w:color w:val="ffffff"/>
              </w:rPr>
              <w:t xml:space="preserve">Phase</w:t>
            </w:r>
            <w:r/>
          </w:p>
        </w:tc>
        <w:tc>
          <w:tcPr>
            <w:shd w:val="clear" w:color="17375e" w:fill="17375e"/>
            <w:textDirection w:val="lrTb"/>
            <w:noWrap w:val="false"/>
          </w:tcPr>
          <w:p>
            <w:r/>
          </w:p>
          <w:p>
            <w:pPr>
              <w:jc w:val="center"/>
            </w:pPr>
            <w:r>
              <w:rPr>
                <w:b/>
                <w:color w:val="ffffff"/>
              </w:rPr>
              <w:t xml:space="preserve">Duration</w:t>
            </w:r>
            <w:r/>
          </w:p>
        </w:tc>
        <w:tc>
          <w:tcPr>
            <w:shd w:val="clear" w:color="17375e" w:fill="17375e"/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rPr>
                <w:b/>
                <w:color w:val="ffffff"/>
              </w:rPr>
              <w:t xml:space="preserve">Fixed Price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Phase 1 — Discovery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center"/>
            </w:pPr>
            <w:r>
              <w:t xml:space="preserve">4 weeks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150 000 ₽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Phase 2 — Implementation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center"/>
            </w:pPr>
            <w:r>
              <w:t xml:space="preserve">12 weeks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780 000 ₽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Phase 3 — Handover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center"/>
            </w:pPr>
            <w:r>
              <w:t xml:space="preserve">2 weeks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120 000 ₽</w:t>
            </w:r>
            <w:r/>
          </w:p>
        </w:tc>
      </w:tr>
      <w:tr>
        <w:tblPrEx/>
        <w:trPr/>
        <w:tc>
          <w:tcPr>
            <w:shd w:val="clear" w:color="d3dfee" w:fill="d3dfee"/>
            <w:textDirection w:val="lrTb"/>
            <w:noWrap w:val="false"/>
          </w:tcPr>
          <w:p>
            <w:r/>
          </w:p>
          <w:p>
            <w:r>
              <w:rPr>
                <w:b/>
              </w:rPr>
              <w:t xml:space="preserve">TOTAL</w:t>
            </w:r>
            <w:r/>
          </w:p>
        </w:tc>
        <w:tc>
          <w:tcPr>
            <w:shd w:val="clear" w:color="d3dfee" w:fill="d3dfee"/>
            <w:textDirection w:val="lrTb"/>
            <w:noWrap w:val="false"/>
          </w:tcPr>
          <w:p>
            <w:r/>
          </w:p>
          <w:p>
            <w:pPr>
              <w:jc w:val="center"/>
            </w:pPr>
            <w:r>
              <w:rPr>
                <w:b/>
              </w:rPr>
              <w:t xml:space="preserve">18 weeks</w:t>
            </w:r>
            <w:r/>
          </w:p>
        </w:tc>
        <w:tc>
          <w:tcPr>
            <w:shd w:val="clear" w:color="d3dfee" w:fill="d3dfee"/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rPr>
                <w:b/>
              </w:rPr>
              <w:t xml:space="preserve">1 050 000 ₽</w:t>
            </w:r>
            <w:r/>
          </w:p>
        </w:tc>
      </w:tr>
    </w:tbl>
    <w:p>
      <w:r/>
    </w:p>
    <w:p>
      <w:pPr>
        <w:jc w:val="center"/>
      </w:pPr>
      <w:r>
        <w:rPr>
          <w:i/>
          <w:color w:val="555555"/>
          <w:sz w:val="20"/>
        </w:rPr>
      </w:r>
      <w:bookmarkStart w:id="7" w:name="cap_pricing"/>
      <w:r>
        <w:rPr>
          <w:i/>
          <w:color w:val="555555"/>
          <w:sz w:val="20"/>
        </w:rPr>
        <w:t xml:space="preserve">Ta</w:t>
      </w:r>
      <w:bookmarkEnd w:id="7"/>
      <w:r>
        <w:rPr>
          <w:i/>
          <w:color w:val="555555"/>
          <w:sz w:val="20"/>
        </w:rPr>
        <w:t xml:space="preserve">ble </w:t>
      </w:r>
      <w:r>
        <w:t xml:space="preserve">1</w:t>
      </w:r>
      <w:r>
        <w:rPr>
          <w:i/>
          <w:color w:val="555555"/>
          <w:sz w:val="20"/>
        </w:rPr>
        <w:t xml:space="preserve">. Pricing Summary</w:t>
      </w:r>
      <w:r/>
    </w:p>
    <w:p>
      <w:pPr>
        <w:pStyle w:val="16"/>
      </w:pPr>
      <w:r>
        <w:t xml:space="preserve">3.2 Payment Schedule</w:t>
      </w:r>
      <w:r/>
    </w:p>
    <w:tbl>
      <w:tblPr>
        <w:tblLook w:val="04A0" w:firstRow="1" w:lastRow="0" w:firstColumn="1" w:lastColumn="0" w:noHBand="0" w:noVBand="1"/>
      </w:tblPr>
      <w:tblGrid>
        <w:gridCol w:w="1134"/>
        <w:gridCol w:w="1134"/>
        <w:gridCol w:w="1134"/>
      </w:tblGrid>
      <w:tr>
        <w:tblPrEx/>
        <w:trPr/>
        <w:tc>
          <w:tcPr>
            <w:shd w:val="clear" w:color="376092" w:fill="376092"/>
            <w:textDirection w:val="lrTb"/>
            <w:noWrap w:val="false"/>
          </w:tcPr>
          <w:p>
            <w:r/>
          </w:p>
          <w:p>
            <w:r>
              <w:rPr>
                <w:b/>
                <w:color w:val="ffffff"/>
              </w:rPr>
              <w:t xml:space="preserve">Milestone</w:t>
            </w:r>
            <w:r/>
          </w:p>
        </w:tc>
        <w:tc>
          <w:tcPr>
            <w:shd w:val="clear" w:color="376092" w:fill="376092"/>
            <w:textDirection w:val="lrTb"/>
            <w:noWrap w:val="false"/>
          </w:tcPr>
          <w:p>
            <w:r/>
          </w:p>
          <w:p>
            <w:r>
              <w:rPr>
                <w:b/>
                <w:color w:val="ffffff"/>
              </w:rPr>
              <w:t xml:space="preserve">Due Date</w:t>
            </w:r>
            <w:r/>
          </w:p>
        </w:tc>
        <w:tc>
          <w:tcPr>
            <w:shd w:val="clear" w:color="376092" w:fill="376092"/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rPr>
                <w:b/>
                <w:color w:val="ffffff"/>
              </w:rPr>
              <w:t xml:space="preserve">Amount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Contract signature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fldSimple w:instr="MERGEFIELD DateSignature">
              <w:r>
                <w:t xml:space="preserve">«</w:t>
              </w:r>
              <w:r>
                <w:t xml:space="preserve">DateSignature</w:t>
              </w:r>
              <w:r>
                <w:t xml:space="preserve">»</w:t>
              </w:r>
            </w:fldSimple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210 000 ₽ (20%)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Phase 1 completion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fldSimple w:instr="MERGEFIELD DatePhase1">
              <w:r>
                <w:t xml:space="preserve">«</w:t>
              </w:r>
              <w:r>
                <w:t xml:space="preserve">DatePhase1</w:t>
              </w:r>
              <w:r>
                <w:t xml:space="preserve">»</w:t>
              </w:r>
            </w:fldSimple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315 000 ₽ (30%)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Phase 2 completion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fldSimple w:instr="MERGEFIELD DatePhase2">
              <w:r>
                <w:t xml:space="preserve">«</w:t>
              </w:r>
              <w:r>
                <w:t xml:space="preserve">DatePhase2</w:t>
              </w:r>
              <w:r>
                <w:t xml:space="preserve">»</w:t>
              </w:r>
            </w:fldSimple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420 000 ₽ (40%)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Phase 3 / final acceptance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fldSimple w:instr="MERGEFIELD DateFinal">
              <w:r>
                <w:t xml:space="preserve">«</w:t>
              </w:r>
              <w:r>
                <w:t xml:space="preserve">DateFinal</w:t>
              </w:r>
              <w:r>
                <w:t xml:space="preserve">»</w:t>
              </w:r>
            </w:fldSimple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105 000 ₽ (10%)</w:t>
            </w:r>
            <w:r/>
          </w:p>
        </w:tc>
      </w:tr>
    </w:tbl>
    <w:p>
      <w:r/>
    </w:p>
    <w:p>
      <w:pPr>
        <w:jc w:val="center"/>
      </w:pPr>
      <w:r>
        <w:rPr>
          <w:i/>
          <w:color w:val="555555"/>
          <w:sz w:val="20"/>
        </w:rPr>
      </w:r>
      <w:bookmarkStart w:id="8" w:name="cap_schedule"/>
      <w:r>
        <w:rPr>
          <w:i/>
          <w:color w:val="555555"/>
          <w:sz w:val="20"/>
        </w:rPr>
        <w:t xml:space="preserve">Ta</w:t>
      </w:r>
      <w:bookmarkEnd w:id="8"/>
      <w:r>
        <w:rPr>
          <w:i/>
          <w:color w:val="555555"/>
          <w:sz w:val="20"/>
        </w:rPr>
        <w:t xml:space="preserve">ble </w:t>
      </w:r>
      <w:r>
        <w:t xml:space="preserve">2</w:t>
      </w:r>
      <w:r>
        <w:rPr>
          <w:i/>
          <w:color w:val="555555"/>
          <w:sz w:val="20"/>
        </w:rPr>
        <w:t xml:space="preserve">. Payment Schedule</w:t>
      </w:r>
      <w:r/>
    </w:p>
    <w:p>
      <w:pPr>
        <w:pStyle w:val="14"/>
      </w:pPr>
      <w:r/>
      <w:bookmarkStart w:id="9" w:name="sec_team"/>
      <w:r>
        <w:t xml:space="preserve">4.</w:t>
      </w:r>
      <w:bookmarkEnd w:id="9"/>
      <w:r>
        <w:t xml:space="preserve"> Project Team</w:t>
      </w:r>
      <w:r/>
    </w:p>
    <w:p>
      <w:r>
        <w:t xml:space="preserve">The engagement will be delivered by a dedicated team of four specialists:</w:t>
      </w:r>
      <w:r/>
    </w:p>
    <w:tbl>
      <w:tblPr>
        <w:tblLook w:val="04A0" w:firstRow="1" w:lastRow="0" w:firstColumn="1" w:lastColumn="0" w:noHBand="0" w:noVBand="1"/>
      </w:tblPr>
      <w:tblGrid>
        <w:gridCol w:w="1134"/>
        <w:gridCol w:w="1134"/>
        <w:gridCol w:w="1134"/>
      </w:tblGrid>
      <w:tr>
        <w:tblPrEx/>
        <w:trPr/>
        <w:tc>
          <w:tcPr>
            <w:shd w:val="clear" w:color="17375e" w:fill="17375e"/>
            <w:textDirection w:val="lrTb"/>
            <w:noWrap w:val="false"/>
          </w:tcPr>
          <w:p>
            <w:r/>
          </w:p>
          <w:p>
            <w:r>
              <w:rPr>
                <w:b/>
                <w:color w:val="ffffff"/>
              </w:rPr>
              <w:t xml:space="preserve">Role</w:t>
            </w:r>
            <w:r/>
          </w:p>
        </w:tc>
        <w:tc>
          <w:tcPr>
            <w:shd w:val="clear" w:color="17375e" w:fill="17375e"/>
            <w:textDirection w:val="lrTb"/>
            <w:noWrap w:val="false"/>
          </w:tcPr>
          <w:p>
            <w:r/>
          </w:p>
          <w:p>
            <w:r>
              <w:rPr>
                <w:b/>
                <w:color w:val="ffffff"/>
              </w:rPr>
              <w:t xml:space="preserve">Name</w:t>
            </w:r>
            <w:r/>
          </w:p>
        </w:tc>
        <w:tc>
          <w:tcPr>
            <w:shd w:val="clear" w:color="17375e" w:fill="17375e"/>
            <w:textDirection w:val="lrTb"/>
            <w:noWrap w:val="false"/>
          </w:tcPr>
          <w:p>
            <w:r/>
          </w:p>
          <w:p>
            <w:pPr>
              <w:jc w:val="center"/>
            </w:pPr>
            <w:r>
              <w:rPr>
                <w:b/>
                <w:color w:val="ffffff"/>
              </w:rPr>
              <w:t xml:space="preserve">Allocation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Project Manager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fldSimple w:instr="MERGEFIELD PM_Name">
              <w:r>
                <w:t xml:space="preserve">«</w:t>
              </w:r>
              <w:r>
                <w:t xml:space="preserve">PM_Name</w:t>
              </w:r>
              <w:r>
                <w:t xml:space="preserve">»</w:t>
              </w:r>
            </w:fldSimple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center"/>
            </w:pPr>
            <w:r>
              <w:t xml:space="preserve">50%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Lead Developer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fldSimple w:instr="MERGEFIELD Dev1_Name">
              <w:r>
                <w:t xml:space="preserve">«</w:t>
              </w:r>
              <w:r>
                <w:t xml:space="preserve">Dev1_Name</w:t>
              </w:r>
              <w:r>
                <w:t xml:space="preserve">»</w:t>
              </w:r>
            </w:fldSimple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center"/>
            </w:pPr>
            <w:r>
              <w:t xml:space="preserve">100%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Senior Developer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fldSimple w:instr="MERGEFIELD Dev2_Name">
              <w:r>
                <w:t xml:space="preserve">«</w:t>
              </w:r>
              <w:r>
                <w:t xml:space="preserve">Dev2_Name</w:t>
              </w:r>
              <w:r>
                <w:t xml:space="preserve">»</w:t>
              </w:r>
            </w:fldSimple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center"/>
            </w:pPr>
            <w:r>
              <w:t xml:space="preserve">100%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QA Engineer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fldSimple w:instr="MERGEFIELD QA_Name">
              <w:r>
                <w:t xml:space="preserve">«</w:t>
              </w:r>
              <w:r>
                <w:t xml:space="preserve">QA_Name</w:t>
              </w:r>
              <w:r>
                <w:t xml:space="preserve">»</w:t>
              </w:r>
            </w:fldSimple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center"/>
            </w:pPr>
            <w:r>
              <w:t xml:space="preserve">75%</w:t>
            </w:r>
            <w:r/>
          </w:p>
        </w:tc>
      </w:tr>
    </w:tbl>
    <w:p>
      <w:r/>
    </w:p>
    <w:p>
      <w:pPr>
        <w:pStyle w:val="14"/>
      </w:pPr>
      <w:r>
        <w:t xml:space="preserve">5. References &amp; Navigation</w:t>
      </w:r>
      <w:r/>
    </w:p>
    <w:p>
      <w:pPr>
        <w:jc w:val="both"/>
      </w:pPr>
      <w:r>
        <w:t xml:space="preserve">This section demonstrates cross-references to sections and table captions defined above.</w:t>
      </w:r>
      <w:r/>
    </w:p>
    <w:p>
      <w:pPr>
        <w:jc w:val="both"/>
      </w:pPr>
      <w:r>
        <w:t xml:space="preserve">The full scope of work starts at </w:t>
      </w:r>
      <w:r>
        <w:t xml:space="preserve">. The three phases are: </w:t>
      </w:r>
      <w:r>
        <w:t xml:space="preserve">, </w:t>
      </w:r>
      <w:r>
        <w:t xml:space="preserve">, and </w:t>
      </w:r>
      <w:r>
        <w:t xml:space="preserve">.</w:t>
      </w:r>
      <w:r/>
      <w:r>
        <w:fldChar w:fldCharType="begin"/>
        <w:instrText xml:space="preserve"> REF sec_scope  \h</w:instrText>
        <w:fldChar w:fldCharType="separate"/>
      </w:r>
      <w:r/>
      <w:r/>
      <w:r>
        <w:t xml:space="preserve">2.</w:t>
      </w:r>
      <w:r/>
      <w:r/>
      <w:r>
        <w:fldChar w:fldCharType="end"/>
      </w:r>
      <w:r>
        <w:fldChar w:fldCharType="begin"/>
        <w:instrText xml:space="preserve"> REF sec_phase1  \h</w:instrText>
        <w:fldChar w:fldCharType="separate"/>
      </w:r>
      <w:r/>
      <w:r/>
      <w:r>
        <w:t xml:space="preserve">2.</w:t>
      </w:r>
      <w:r/>
      <w:r/>
      <w:r>
        <w:fldChar w:fldCharType="end"/>
      </w:r>
      <w:r>
        <w:fldChar w:fldCharType="begin"/>
        <w:instrText xml:space="preserve"> REF sec_phase2  \h</w:instrText>
        <w:fldChar w:fldCharType="separate"/>
      </w:r>
      <w:r/>
      <w:r/>
      <w:r>
        <w:t xml:space="preserve">2.</w:t>
      </w:r>
      <w:r/>
      <w:r/>
      <w:r>
        <w:fldChar w:fldCharType="end"/>
      </w:r>
      <w:r>
        <w:fldChar w:fldCharType="begin"/>
        <w:instrText xml:space="preserve"> REF sec_phase3  \h</w:instrText>
        <w:fldChar w:fldCharType="separate"/>
      </w:r>
      <w:r/>
      <w:r/>
      <w:r>
        <w:t xml:space="preserve">2.</w:t>
      </w:r>
      <w:r/>
      <w:r/>
      <w:r>
        <w:fldChar w:fldCharType="end"/>
      </w:r>
      <w:r/>
      <w:r/>
      <w:r/>
      <w:r/>
    </w:p>
    <w:p>
      <w:pPr>
        <w:jc w:val="both"/>
      </w:pPr>
      <w:r>
        <w:t xml:space="preserve">Pricing details are shown in the table under </w:t>
      </w:r>
      <w:r>
        <w:t xml:space="preserve">. The breakdown can be found in caption: </w:t>
      </w:r>
      <w:r>
        <w:t xml:space="preserve">.</w:t>
      </w:r>
      <w:r/>
      <w:r>
        <w:fldChar w:fldCharType="begin"/>
        <w:instrText xml:space="preserve"> REF sec_commercial  \h</w:instrText>
        <w:fldChar w:fldCharType="separate"/>
      </w:r>
      <w:r/>
      <w:r/>
      <w:r>
        <w:t xml:space="preserve">3.</w:t>
      </w:r>
      <w:r/>
      <w:r/>
      <w:r>
        <w:fldChar w:fldCharType="end"/>
      </w:r>
      <w:r>
        <w:fldChar w:fldCharType="begin"/>
        <w:instrText xml:space="preserve"> REF cap_pricing </w:instrText>
        <w:fldChar w:fldCharType="separate"/>
      </w:r>
      <w:r/>
      <w:r>
        <w:rPr>
          <w:i/>
          <w:color w:val="555555"/>
          <w:sz w:val="20"/>
        </w:rPr>
      </w:r>
      <w:r>
        <w:rPr>
          <w:i/>
          <w:color w:val="555555"/>
          <w:sz w:val="20"/>
        </w:rPr>
        <w:t xml:space="preserve">Ta</w:t>
      </w:r>
      <w:r/>
      <w:r/>
      <w:r>
        <w:fldChar w:fldCharType="end"/>
      </w:r>
      <w:r/>
      <w:r/>
    </w:p>
    <w:p>
      <w:pPr>
        <w:jc w:val="both"/>
      </w:pPr>
      <w:r>
        <w:t xml:space="preserve">The payment schedule (see </w:t>
      </w:r>
      <w:r>
        <w:t xml:space="preserve">) is tied to milestone dates that will be inserted via merge fields at print time.</w:t>
      </w:r>
      <w:r/>
      <w:r>
        <w:fldChar w:fldCharType="begin"/>
        <w:instrText xml:space="preserve"> REF cap_schedule  \h</w:instrText>
        <w:fldChar w:fldCharType="separate"/>
      </w:r>
      <w:r/>
      <w:r>
        <w:rPr>
          <w:i/>
          <w:color w:val="555555"/>
          <w:sz w:val="20"/>
        </w:rPr>
      </w:r>
      <w:r>
        <w:rPr>
          <w:i/>
          <w:color w:val="555555"/>
          <w:sz w:val="20"/>
        </w:rPr>
        <w:t xml:space="preserve">Ta</w:t>
      </w:r>
      <w:r/>
      <w:r/>
      <w:r>
        <w:fldChar w:fldCharType="end"/>
      </w:r>
      <w:r/>
    </w:p>
    <w:p>
      <w:pPr>
        <w:jc w:val="both"/>
      </w:pPr>
      <w:r>
        <w:t xml:space="preserve">Team composition is documented in </w:t>
      </w:r>
      <w:r>
        <w:t xml:space="preserve">. Key contacts are </w:t>
      </w:r>
      <w:fldSimple w:instr="MERGEFIELD PM_Name">
        <w:r>
          <w:t xml:space="preserve">«</w:t>
        </w:r>
        <w:r>
          <w:t xml:space="preserve">PM_Name</w:t>
        </w:r>
        <w:r>
          <w:t xml:space="preserve">»</w:t>
        </w:r>
      </w:fldSimple>
      <w:r>
        <w:t xml:space="preserve"> (PM) and </w:t>
      </w:r>
      <w:fldSimple w:instr="MERGEFIELD Dev1_Name">
        <w:r>
          <w:t xml:space="preserve">«</w:t>
        </w:r>
        <w:r>
          <w:t xml:space="preserve">Dev1_Name</w:t>
        </w:r>
        <w:r>
          <w:t xml:space="preserve">»</w:t>
        </w:r>
      </w:fldSimple>
      <w:r>
        <w:t xml:space="preserve"> (Lead Developer).</w:t>
      </w:r>
      <w:r/>
      <w:r>
        <w:fldChar w:fldCharType="begin"/>
        <w:instrText xml:space="preserve"> REF sec_team  \h</w:instrText>
        <w:fldChar w:fldCharType="separate"/>
      </w:r>
      <w:r/>
      <w:r/>
      <w:r>
        <w:t xml:space="preserve">4.</w:t>
      </w:r>
      <w:r/>
      <w:r/>
      <w:r>
        <w:fldChar w:fldCharType="end"/>
      </w:r>
      <w:r/>
    </w:p>
    <w:p>
      <w:pPr>
        <w:jc w:val="center"/>
      </w:pPr>
      <w:r>
        <w:rPr>
          <w:i/>
          <w:color w:val="888888"/>
          <w:sz w:val="20"/>
        </w:rPr>
        <w:t xml:space="preserve">— End of Proposal —</w:t>
      </w:r>
      <w:r/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/>
  <w:font w:name="Courier New"/>
  <w:font w:name="Symbol"/>
  <w:font w:name="Liberation Sans"/>
  <w:font w:name="Calibri"/>
  <w:font w:name="Times New Roman"/>
  <w:font w:name="Cambria"/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</w:p>
  <w:p>
    <w:pPr>
      <w:jc w:val="right"/>
    </w:pPr>
    <w:r>
      <w:rPr>
        <w:color w:val="888888"/>
        <w:sz w:val="16"/>
      </w:rPr>
      <w:t xml:space="preserve">Prepared for: </w:t>
    </w:r>
    <w:fldSimple w:instr="MERGEFIELD ClientName">
      <w:r>
        <w:t xml:space="preserve">«</w:t>
      </w:r>
      <w:r>
        <w:t xml:space="preserve">ClientName</w:t>
      </w:r>
      <w:r>
        <w:t xml:space="preserve">»</w:t>
      </w:r>
    </w:fldSimple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</w:p>
  <w:p>
    <w:r>
      <w:rPr>
        <w:b/>
        <w:color w:val="cc0000"/>
        <w:sz w:val="18"/>
      </w:rPr>
      <w:t xml:space="preserve">CONFIDENTIAL  </w:t>
    </w:r>
    <w:r>
      <w:rPr>
        <w:color w:val="555555"/>
        <w:sz w:val="18"/>
      </w:rPr>
      <w:t xml:space="preserve">Vendor Proposal — </w:t>
    </w:r>
    <w:fldSimple w:instr="MERGEFIELD VendorName">
      <w:r>
        <w:t xml:space="preserve">«</w:t>
      </w:r>
      <w:r>
        <w:t xml:space="preserve">VendorName</w:t>
      </w:r>
      <w:r>
        <w:t xml:space="preserve">»</w:t>
      </w:r>
    </w:fldSimple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18"/>
    <w:next w:val="618"/>
    <w:link w:val="15"/>
    <w:uiPriority w:val="9"/>
    <w:qFormat/>
    <w:pPr>
      <w:keepLines/>
      <w:keepNext/>
      <w:spacing w:before="360" w:after="120"/>
      <w:outlineLvl w:val="0"/>
    </w:pPr>
    <w:rPr>
      <w:rFonts w:hint="default" w:ascii="Calibri" w:hAnsi="Calibri" w:eastAsia="Calibri" w:cs="Calibri"/>
      <w:b/>
      <w:color w:val="17375e"/>
      <w:sz w:val="32"/>
      <w:szCs w:val="40"/>
    </w:rPr>
  </w:style>
  <w:style w:type="character" w:styleId="15">
    <w:name w:val="Heading 1 Char"/>
    <w:basedOn w:val="12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18"/>
    <w:next w:val="618"/>
    <w:link w:val="17"/>
    <w:uiPriority w:val="9"/>
    <w:unhideWhenUsed/>
    <w:qFormat/>
    <w:pPr>
      <w:keepLines/>
      <w:keepNext/>
      <w:spacing w:before="240" w:after="80"/>
      <w:outlineLvl w:val="1"/>
    </w:pPr>
    <w:rPr>
      <w:rFonts w:hint="default" w:ascii="Calibri" w:hAnsi="Calibri" w:eastAsia="Calibri" w:cs="Calibri"/>
      <w:b/>
      <w:color w:val="376092"/>
      <w:sz w:val="26"/>
    </w:rPr>
  </w:style>
  <w:style w:type="character" w:styleId="17">
    <w:name w:val="Heading 2 Char"/>
    <w:basedOn w:val="12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18"/>
    <w:next w:val="618"/>
    <w:link w:val="19"/>
    <w:uiPriority w:val="9"/>
    <w:unhideWhenUsed/>
    <w:qFormat/>
    <w:pPr>
      <w:keepLines/>
      <w:keepNext/>
      <w:spacing w:before="160" w:after="40"/>
      <w:outlineLvl w:val="2"/>
    </w:pPr>
    <w:rPr>
      <w:rFonts w:ascii="Liberation Sans" w:hAnsi="Liberation Sans" w:eastAsia="Liberation Sans" w:cs="Liberation Sans"/>
      <w:b/>
      <w:i/>
      <w:color w:val="4f81bd"/>
      <w:sz w:val="22"/>
      <w:szCs w:val="30"/>
    </w:rPr>
  </w:style>
  <w:style w:type="character" w:styleId="19">
    <w:name w:val="Heading 3 Char"/>
    <w:basedOn w:val="12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18"/>
    <w:next w:val="618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12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18"/>
    <w:next w:val="618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12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18"/>
    <w:next w:val="618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12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18"/>
    <w:next w:val="618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12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18"/>
    <w:next w:val="618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12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18"/>
    <w:next w:val="618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12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5">
    <w:name w:val="Title"/>
    <w:basedOn w:val="618"/>
    <w:next w:val="618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12"/>
    <w:link w:val="35"/>
    <w:uiPriority w:val="10"/>
    <w:rPr>
      <w:sz w:val="48"/>
      <w:szCs w:val="48"/>
    </w:rPr>
  </w:style>
  <w:style w:type="paragraph" w:styleId="37">
    <w:name w:val="Subtitle"/>
    <w:basedOn w:val="618"/>
    <w:next w:val="618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12"/>
    <w:link w:val="37"/>
    <w:uiPriority w:val="11"/>
    <w:rPr>
      <w:sz w:val="24"/>
      <w:szCs w:val="24"/>
    </w:rPr>
  </w:style>
  <w:style w:type="paragraph" w:styleId="39">
    <w:name w:val="Quote"/>
    <w:basedOn w:val="618"/>
    <w:next w:val="618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18"/>
    <w:next w:val="618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18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12"/>
    <w:link w:val="43"/>
    <w:uiPriority w:val="99"/>
  </w:style>
  <w:style w:type="paragraph" w:styleId="45">
    <w:name w:val="Footer"/>
    <w:basedOn w:val="61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12"/>
    <w:link w:val="45"/>
    <w:uiPriority w:val="99"/>
  </w:style>
  <w:style w:type="paragraph" w:styleId="47">
    <w:name w:val="Caption"/>
    <w:basedOn w:val="618"/>
    <w:next w:val="618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12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61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149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150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151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152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153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154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6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7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8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9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0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1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3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4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5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6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7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8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18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12"/>
    <w:uiPriority w:val="99"/>
    <w:unhideWhenUsed/>
    <w:rPr>
      <w:vertAlign w:val="superscript"/>
    </w:rPr>
  </w:style>
  <w:style w:type="paragraph" w:styleId="179">
    <w:name w:val="endnote text"/>
    <w:basedOn w:val="618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12"/>
    <w:uiPriority w:val="99"/>
    <w:semiHidden/>
    <w:unhideWhenUsed/>
    <w:rPr>
      <w:vertAlign w:val="superscript"/>
    </w:rPr>
  </w:style>
  <w:style w:type="paragraph" w:styleId="182">
    <w:name w:val="toc 1"/>
    <w:basedOn w:val="618"/>
    <w:next w:val="618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18"/>
    <w:next w:val="618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18"/>
    <w:next w:val="618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18"/>
    <w:next w:val="618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18"/>
    <w:next w:val="618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18"/>
    <w:next w:val="618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18"/>
    <w:next w:val="618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18"/>
    <w:next w:val="618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18"/>
    <w:next w:val="618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18"/>
    <w:next w:val="618"/>
    <w:uiPriority w:val="99"/>
    <w:unhideWhenUsed/>
    <w:pPr>
      <w:spacing w:after="0" w:afterAutospacing="0"/>
    </w:pPr>
  </w:style>
  <w:style w:type="paragraph" w:styleId="618" w:default="1">
    <w:name w:val="Normal"/>
    <w:qFormat/>
    <w:pPr>
      <w:spacing w:after="100"/>
    </w:pPr>
    <w:rPr>
      <w:rFonts w:hint="default" w:ascii="Calibri" w:hAnsi="Calibri" w:eastAsia="Calibri" w:cs="Calibri"/>
      <w:sz w:val="22"/>
    </w:rPr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paragraph" w:styleId="621">
    <w:name w:val="No Spacing"/>
    <w:basedOn w:val="618"/>
    <w:uiPriority w:val="1"/>
    <w:qFormat/>
    <w:pPr>
      <w:spacing w:after="0" w:line="240" w:lineRule="auto"/>
    </w:pPr>
  </w:style>
  <w:style w:type="paragraph" w:styleId="622">
    <w:name w:val="List Paragraph"/>
    <w:basedOn w:val="618"/>
    <w:uiPriority w:val="34"/>
    <w:qFormat/>
    <w:pPr>
      <w:contextualSpacing/>
      <w:ind w:left="720"/>
    </w:pPr>
  </w:style>
  <w:style w:type="character" w:styleId="627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x420x37x2Dx41Ex444x438x441/2026.1.1.1805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Unknown.User</cp:lastModifiedBy>
  <cp:revision>1</cp:revision>
  <dcterms:modified xsi:type="dcterms:W3CDTF">2026-04-28T21:31:18Z</dcterms:modified>
</cp:coreProperties>
</file>