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pStyle w:val="14"/>
      </w:pPr>
      <w:r>
        <w:t xml:space="preserve">Sequential Fields &amp; Cross-References</w:t>
      </w:r>
      <w:r/>
    </w:p>
    <w:p>
      <w:pPr>
        <w:jc w:val="both"/>
      </w:pPr>
      <w:r>
        <w:t xml:space="preserve">This document demonstrates two related features: SEQ counters for auto-numbering captions, and bookmark-based cross-references that link back to earlier sections. Each table and figure gets an incrementing caption. The Summary section contains cross-references resolved from those bookmarks.</w:t>
      </w:r>
      <w:r/>
    </w:p>
    <w:p>
      <w:pPr>
        <w:pStyle w:val="14"/>
      </w:pPr>
      <w:r/>
      <w:bookmarkStart w:id="1" w:name="sec_data_tables"/>
      <w:r>
        <w:t xml:space="preserve">1.</w:t>
      </w:r>
      <w:bookmarkEnd w:id="1"/>
      <w:r>
        <w:t xml:space="preserve"> Data Tables</w:t>
      </w:r>
      <w:r/>
    </w:p>
    <w:p>
      <w:pPr>
        <w:pStyle w:val="16"/>
      </w:pPr>
      <w:r/>
      <w:bookmarkStart w:id="2" w:name="sec_revenue"/>
      <w:r>
        <w:t xml:space="preserve">1.</w:t>
      </w:r>
      <w:bookmarkEnd w:id="2"/>
      <w:r>
        <w:t xml:space="preserve">1 Revenue by Quarter</w:t>
      </w:r>
      <w:r/>
    </w:p>
    <w:p>
      <w:r>
        <w:t xml:space="preserve">The table below summarises quarterly revenue across three product lines for fiscal year 2025.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>
        <w:tblPrEx/>
        <w:trPr/>
        <w:tc>
          <w:tcPr>
            <w:shd w:val="clear" w:color="1a3050" w:fill="1a3050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Product</w:t>
            </w:r>
            <w:r/>
          </w:p>
        </w:tc>
        <w:tc>
          <w:tcPr>
            <w:shd w:val="clear" w:color="1a3050" w:fill="1a3050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Q1</w:t>
            </w:r>
            <w:r/>
          </w:p>
        </w:tc>
        <w:tc>
          <w:tcPr>
            <w:shd w:val="clear" w:color="1a3050" w:fill="1a3050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Q2</w:t>
            </w:r>
            <w:r/>
          </w:p>
        </w:tc>
        <w:tc>
          <w:tcPr>
            <w:shd w:val="clear" w:color="1a3050" w:fill="1a3050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Q3</w:t>
            </w:r>
            <w:r/>
          </w:p>
        </w:tc>
        <w:tc>
          <w:tcPr>
            <w:shd w:val="clear" w:color="1a3050" w:fill="1a3050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Q4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Software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4 200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4 850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5 100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6 300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Hardware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1 800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2 100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1 950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2 400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Services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3 000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3 200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3 500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3 800</w:t>
            </w:r>
            <w:r/>
          </w:p>
        </w:tc>
      </w:tr>
      <w:tr>
        <w:tblPrEx/>
        <w:trPr/>
        <w:tc>
          <w:tcPr>
            <w:shd w:val="clear" w:color="c5d9e8" w:fill="c5d9e8"/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TOTAL</w:t>
            </w:r>
            <w:r/>
          </w:p>
        </w:tc>
        <w:tc>
          <w:tcPr>
            <w:shd w:val="clear" w:color="c5d9e8" w:fill="c5d9e8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9 000</w:t>
            </w:r>
            <w:r/>
          </w:p>
        </w:tc>
        <w:tc>
          <w:tcPr>
            <w:shd w:val="clear" w:color="c5d9e8" w:fill="c5d9e8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10 150</w:t>
            </w:r>
            <w:r/>
          </w:p>
        </w:tc>
        <w:tc>
          <w:tcPr>
            <w:shd w:val="clear" w:color="c5d9e8" w:fill="c5d9e8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10 550</w:t>
            </w:r>
            <w:r/>
          </w:p>
        </w:tc>
        <w:tc>
          <w:tcPr>
            <w:shd w:val="clear" w:color="c5d9e8" w:fill="c5d9e8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12 500</w:t>
            </w:r>
            <w:r/>
          </w:p>
        </w:tc>
      </w:tr>
    </w:tbl>
    <w:p>
      <w:r/>
    </w:p>
    <w:p>
      <w:pPr>
        <w:jc w:val="center"/>
      </w:pPr>
      <w:r>
        <w:rPr>
          <w:i/>
          <w:color w:val="555555"/>
          <w:sz w:val="20"/>
        </w:rPr>
      </w:r>
      <w:bookmarkStart w:id="3" w:name="cap_table1"/>
      <w:r>
        <w:rPr>
          <w:i/>
          <w:color w:val="555555"/>
          <w:sz w:val="20"/>
        </w:rPr>
        <w:t xml:space="preserve">Ta</w:t>
      </w:r>
      <w:bookmarkEnd w:id="3"/>
      <w:r>
        <w:rPr>
          <w:i/>
          <w:color w:val="555555"/>
          <w:sz w:val="20"/>
        </w:rPr>
        <w:t xml:space="preserve">ble </w:t>
      </w:r>
      <w:r>
        <w:t xml:space="preserve">1</w:t>
      </w:r>
      <w:r>
        <w:rPr>
          <w:i/>
          <w:color w:val="555555"/>
          <w:sz w:val="20"/>
        </w:rPr>
        <w:t xml:space="preserve">. Revenue by Quarter, ₽ thousand</w:t>
      </w:r>
      <w:r/>
    </w:p>
    <w:p>
      <w:pPr>
        <w:pStyle w:val="16"/>
      </w:pPr>
      <w:r/>
      <w:bookmarkStart w:id="4" w:name="sec_expenses"/>
      <w:r>
        <w:t xml:space="preserve">1.</w:t>
      </w:r>
      <w:bookmarkEnd w:id="4"/>
      <w:r>
        <w:t xml:space="preserve">2 Expense Breakdown</w:t>
      </w:r>
      <w:r/>
    </w:p>
    <w:p>
      <w:r>
        <w:t xml:space="preserve">Operating expenses are categorised into four cost centres.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blPrEx/>
        <w:trPr/>
        <w:tc>
          <w:tcPr>
            <w:shd w:val="clear" w:color="2e5f8a" w:fill="2e5f8a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Cost Centre</w:t>
            </w:r>
            <w:r/>
          </w:p>
        </w:tc>
        <w:tc>
          <w:tcPr>
            <w:shd w:val="clear" w:color="2e5f8a" w:fill="2e5f8a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H1</w:t>
            </w:r>
            <w:r/>
          </w:p>
        </w:tc>
        <w:tc>
          <w:tcPr>
            <w:shd w:val="clear" w:color="2e5f8a" w:fill="2e5f8a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H2</w:t>
            </w:r>
            <w:r/>
          </w:p>
        </w:tc>
        <w:tc>
          <w:tcPr>
            <w:shd w:val="clear" w:color="2e5f8a" w:fill="2e5f8a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Total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Personnel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5 400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5 800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11 200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Infrastructure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1 200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1 100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2 300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Marketing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900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1 200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2 100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Other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400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500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900</w:t>
            </w:r>
            <w:r/>
          </w:p>
        </w:tc>
      </w:tr>
    </w:tbl>
    <w:p>
      <w:r/>
    </w:p>
    <w:p>
      <w:pPr>
        <w:jc w:val="center"/>
      </w:pPr>
      <w:r>
        <w:rPr>
          <w:i/>
          <w:color w:val="555555"/>
          <w:sz w:val="20"/>
        </w:rPr>
      </w:r>
      <w:bookmarkStart w:id="5" w:name="cap_table2"/>
      <w:r>
        <w:rPr>
          <w:i/>
          <w:color w:val="555555"/>
          <w:sz w:val="20"/>
        </w:rPr>
        <w:t xml:space="preserve">Ta</w:t>
      </w:r>
      <w:bookmarkEnd w:id="5"/>
      <w:r>
        <w:rPr>
          <w:i/>
          <w:color w:val="555555"/>
          <w:sz w:val="20"/>
        </w:rPr>
        <w:t xml:space="preserve">ble </w:t>
      </w:r>
      <w:r>
        <w:t xml:space="preserve">2</w:t>
      </w:r>
      <w:r>
        <w:rPr>
          <w:i/>
          <w:color w:val="555555"/>
          <w:sz w:val="20"/>
        </w:rPr>
        <w:t xml:space="preserve">. Operating Expenses, ₽ thousand</w:t>
      </w:r>
      <w:r/>
    </w:p>
    <w:p>
      <w:pPr>
        <w:pStyle w:val="14"/>
      </w:pPr>
      <w:r/>
      <w:bookmarkStart w:id="6" w:name="sec_figures"/>
      <w:r>
        <w:t xml:space="preserve">2.</w:t>
      </w:r>
      <w:bookmarkEnd w:id="6"/>
      <w:r>
        <w:t xml:space="preserve"> Key Metrics</w:t>
      </w:r>
      <w:r/>
    </w:p>
    <w:p>
      <w:pPr>
        <w:pStyle w:val="16"/>
      </w:pPr>
      <w:r/>
      <w:bookmarkStart w:id="7" w:name="sec_growth"/>
      <w:r>
        <w:t xml:space="preserve">2.</w:t>
      </w:r>
      <w:bookmarkEnd w:id="7"/>
      <w:r>
        <w:t xml:space="preserve">1 Revenue Growth</w:t>
      </w:r>
      <w:r/>
    </w:p>
    <w:p>
      <w:r>
        <w:t xml:space="preserve">Annual revenue grew 39% year-over-year, driven by the software division (+50%).</w:t>
      </w:r>
      <w:r/>
    </w:p>
    <w:p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80000" cy="108000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67187844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85.04pt;height:85.04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/>
    </w:p>
    <w:p>
      <w:pPr>
        <w:jc w:val="center"/>
      </w:pPr>
      <w:r>
        <w:rPr>
          <w:i/>
          <w:color w:val="555555"/>
          <w:sz w:val="20"/>
        </w:rPr>
      </w:r>
      <w:bookmarkStart w:id="8" w:name="cap_fig1"/>
      <w:r>
        <w:rPr>
          <w:i/>
          <w:color w:val="555555"/>
          <w:sz w:val="20"/>
        </w:rPr>
        <w:t xml:space="preserve">Fi</w:t>
      </w:r>
      <w:bookmarkEnd w:id="8"/>
      <w:r>
        <w:rPr>
          <w:i/>
          <w:color w:val="555555"/>
          <w:sz w:val="20"/>
        </w:rPr>
        <w:t xml:space="preserve">gure </w:t>
      </w:r>
      <w:r>
        <w:t xml:space="preserve">1</w:t>
      </w:r>
      <w:r>
        <w:rPr>
          <w:i/>
          <w:color w:val="555555"/>
          <w:sz w:val="20"/>
        </w:rPr>
        <w:t xml:space="preserve">. Revenue Growth 2024–2025 (placeholder)</w:t>
      </w:r>
      <w:r/>
    </w:p>
    <w:p>
      <w:pPr>
        <w:pStyle w:val="16"/>
      </w:pPr>
      <w:r/>
      <w:bookmarkStart w:id="9" w:name="sec_margin"/>
      <w:r>
        <w:t xml:space="preserve">2.</w:t>
      </w:r>
      <w:bookmarkEnd w:id="9"/>
      <w:r>
        <w:t xml:space="preserve">2 Profit Margin</w:t>
      </w:r>
      <w:r/>
    </w:p>
    <w:p>
      <w:r>
        <w:t xml:space="preserve">Operating margin improved from 12% to 18%.</w:t>
      </w:r>
      <w:r/>
    </w:p>
    <w:p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80000" cy="1080000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568884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85.04pt;height:85.04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/>
    </w:p>
    <w:p>
      <w:pPr>
        <w:jc w:val="center"/>
      </w:pPr>
      <w:r>
        <w:rPr>
          <w:i/>
          <w:color w:val="555555"/>
          <w:sz w:val="20"/>
        </w:rPr>
      </w:r>
      <w:bookmarkStart w:id="10" w:name="cap_fig2"/>
      <w:r>
        <w:rPr>
          <w:i/>
          <w:color w:val="555555"/>
          <w:sz w:val="20"/>
        </w:rPr>
        <w:t xml:space="preserve">Fi</w:t>
      </w:r>
      <w:bookmarkEnd w:id="10"/>
      <w:r>
        <w:rPr>
          <w:i/>
          <w:color w:val="555555"/>
          <w:sz w:val="20"/>
        </w:rPr>
        <w:t xml:space="preserve">gure </w:t>
      </w:r>
      <w:r>
        <w:t xml:space="preserve">2</w:t>
      </w:r>
      <w:r>
        <w:rPr>
          <w:i/>
          <w:color w:val="555555"/>
          <w:sz w:val="20"/>
        </w:rPr>
        <w:t xml:space="preserve">. Operating Margin Trend (placeholder)</w:t>
      </w:r>
      <w:r/>
    </w:p>
    <w:p>
      <w:pPr>
        <w:pStyle w:val="14"/>
      </w:pPr>
      <w:r/>
      <w:bookmarkStart w:id="11" w:name="sec_summary"/>
      <w:r>
        <w:t xml:space="preserve">3.</w:t>
      </w:r>
      <w:bookmarkEnd w:id="11"/>
      <w:r>
        <w:t xml:space="preserve"> Summary &amp; Cross-References</w:t>
      </w:r>
      <w:r/>
    </w:p>
    <w:p>
      <w:pPr>
        <w:jc w:val="both"/>
      </w:pPr>
      <w:r>
        <w:t xml:space="preserve">The paragraphs below contain backward cross-references. Each resolved reference displays the text of its bookmark target (the heading or caption text).</w:t>
      </w:r>
      <w:r/>
    </w:p>
    <w:p>
      <w:pPr>
        <w:jc w:val="both"/>
      </w:pPr>
      <w:r>
        <w:t xml:space="preserve">For quarterly revenue figures, refer to </w:t>
      </w:r>
      <w:r>
        <w:t xml:space="preserve"> above.</w:t>
      </w:r>
      <w:r/>
      <w:r>
        <w:fldChar w:fldCharType="begin"/>
        <w:instrText xml:space="preserve"> REF sec_revenue  \h</w:instrText>
        <w:fldChar w:fldCharType="separate"/>
      </w:r>
      <w:r/>
      <w:r/>
      <w:r>
        <w:t xml:space="preserve">1.</w:t>
      </w:r>
      <w:r/>
      <w:r/>
      <w:r>
        <w:fldChar w:fldCharType="end"/>
      </w:r>
      <w:r/>
    </w:p>
    <w:p>
      <w:pPr>
        <w:jc w:val="both"/>
      </w:pPr>
      <w:r>
        <w:t xml:space="preserve">Cost details are covered under </w:t>
      </w:r>
      <w:r>
        <w:t xml:space="preserve">.</w:t>
      </w:r>
      <w:r/>
      <w:r>
        <w:fldChar w:fldCharType="begin"/>
        <w:instrText xml:space="preserve"> REF sec_expenses  \h</w:instrText>
        <w:fldChar w:fldCharType="separate"/>
      </w:r>
      <w:r/>
      <w:r/>
      <w:r>
        <w:t xml:space="preserve">1.</w:t>
      </w:r>
      <w:r/>
      <w:r/>
      <w:r>
        <w:fldChar w:fldCharType="end"/>
      </w:r>
      <w:r/>
    </w:p>
    <w:p>
      <w:pPr>
        <w:jc w:val="both"/>
      </w:pPr>
      <w:r>
        <w:t xml:space="preserve">Growth trends are visualised in </w:t>
      </w:r>
      <w:r>
        <w:t xml:space="preserve"> and </w:t>
      </w:r>
      <w:r>
        <w:t xml:space="preserve">.</w:t>
      </w:r>
      <w:r/>
      <w:r>
        <w:fldChar w:fldCharType="begin"/>
        <w:instrText xml:space="preserve"> REF sec_growth  \h</w:instrText>
        <w:fldChar w:fldCharType="separate"/>
      </w:r>
      <w:r/>
      <w:r/>
      <w:r>
        <w:t xml:space="preserve">2.</w:t>
      </w:r>
      <w:r/>
      <w:r/>
      <w:r>
        <w:fldChar w:fldCharType="end"/>
      </w:r>
      <w:r>
        <w:fldChar w:fldCharType="begin"/>
        <w:instrText xml:space="preserve"> REF sec_margin  \h</w:instrText>
        <w:fldChar w:fldCharType="separate"/>
      </w:r>
      <w:r/>
      <w:r/>
      <w:r>
        <w:t xml:space="preserve">2.</w:t>
      </w:r>
      <w:r/>
      <w:r/>
      <w:r>
        <w:fldChar w:fldCharType="end"/>
      </w:r>
      <w:r/>
      <w:r/>
    </w:p>
    <w:p>
      <w:pPr>
        <w:jc w:val="both"/>
      </w:pPr>
      <w:r>
        <w:t xml:space="preserve">The main data table (caption resolves to: </w:t>
      </w:r>
      <w:r>
        <w:t xml:space="preserve">) covers all four quarters.</w:t>
      </w:r>
      <w:r/>
      <w:r>
        <w:fldChar w:fldCharType="begin"/>
        <w:instrText xml:space="preserve"> REF cap_table1 </w:instrText>
        <w:fldChar w:fldCharType="separate"/>
      </w:r>
      <w:r/>
      <w:r>
        <w:rPr>
          <w:i/>
          <w:color w:val="555555"/>
          <w:sz w:val="20"/>
        </w:rPr>
      </w:r>
      <w:r>
        <w:rPr>
          <w:i/>
          <w:color w:val="555555"/>
          <w:sz w:val="20"/>
        </w:rPr>
        <w:t xml:space="preserve">Ta</w:t>
      </w:r>
      <w:r/>
      <w:r/>
      <w:r>
        <w:fldChar w:fldCharType="end"/>
      </w:r>
      <w:r/>
    </w:p>
    <w:p>
      <w:r/>
      <w:r/>
    </w:p>
    <w:p>
      <w:pPr>
        <w:pStyle w:val="16"/>
      </w:pPr>
      <w:r>
        <w:t xml:space="preserve">SEQ Counter Totals</w:t>
      </w:r>
      <w:r/>
    </w:p>
    <w:p>
      <w:r>
        <w:t xml:space="preserve">This document contains </w:t>
      </w:r>
      <w:r>
        <w:rPr>
          <w:b/>
        </w:rPr>
        <w:t xml:space="preserve">2</w:t>
      </w:r>
      <w:r>
        <w:t xml:space="preserve"> tables (Table 1, Table 2) and </w:t>
      </w:r>
      <w:r>
        <w:rPr>
          <w:b/>
        </w:rPr>
        <w:t xml:space="preserve">2</w:t>
      </w:r>
      <w:r>
        <w:t xml:space="preserve"> figures (Figure 1, Figure 2), each numbered by the SEQ counter in their caption.</w:t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/>
  <w:font w:name="Calibri"/>
  <w:font w:name="Times New Roman"/>
  <w:font w:name="Cambria"/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</w:p>
  <w:p>
    <w:pPr>
      <w:jc w:val="right"/>
    </w:pPr>
    <w:r>
      <w:rPr>
        <w:i/>
        <w:color w:val="888888"/>
        <w:sz w:val="18"/>
      </w:rPr>
      <w:t xml:space="preserve">SEQ Fields &amp; Cross-References Test</w: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280" w:after="80"/>
      <w:outlineLvl w:val="0"/>
    </w:pPr>
    <w:rPr>
      <w:rFonts w:ascii="Liberation Sans" w:hAnsi="Liberation Sans" w:eastAsia="Liberation Sans" w:cs="Liberation Sans"/>
      <w:b/>
      <w:color w:val="1a3050"/>
      <w:sz w:val="32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200" w:after="60"/>
      <w:outlineLvl w:val="1"/>
    </w:pPr>
    <w:rPr>
      <w:rFonts w:ascii="Liberation Sans" w:hAnsi="Liberation Sans" w:eastAsia="Liberation Sans" w:cs="Liberation Sans"/>
      <w:b/>
      <w:color w:val="2e5f8a"/>
      <w:sz w:val="26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2026-04-28T21:31:18Z</dcterms:modified>
</cp:coreProperties>
</file>