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/>
    </w:p>
    <w:p>
      <w:pPr>
        <w:pStyle w:val="14"/>
        <w:jc w:val="center"/>
      </w:pPr>
      <w:r>
        <w:t xml:space="preserve">Software Architecture Document</w:t>
      </w:r>
      <w:r/>
    </w:p>
    <w:p>
      <w:pPr>
        <w:jc w:val="center"/>
      </w:pPr>
      <w:r>
        <w:rPr>
          <w:color w:val="555555"/>
          <w:sz w:val="22"/>
        </w:rPr>
        <w:t xml:space="preserve">Project: </w:t>
      </w:r>
      <w:r>
        <w:rPr>
          <w:b/>
          <w:sz w:val="22"/>
        </w:rPr>
        <w:t xml:space="preserve">DocBuilder JSON Bridge</w:t>
      </w:r>
      <w:r/>
    </w:p>
    <w:p>
      <w:pPr>
        <w:jc w:val="center"/>
      </w:pPr>
      <w:r>
        <w:rPr>
          <w:color w:val="555555"/>
          <w:sz w:val="20"/>
        </w:rPr>
        <w:t xml:space="preserve">Status: </w:t>
      </w:r>
      <w:r>
        <w:rPr>
          <w:b/>
          <w:color w:val="cc6600"/>
          <w:sz w:val="20"/>
        </w:rPr>
        <w:t xml:space="preserve">DRAFT</w:t>
      </w:r>
      <w:r/>
    </w:p>
    <w:p>
      <w:r>
        <w:br w:type="page" w:clear="all"/>
      </w:r>
      <w:r/>
    </w:p>
    <w:p>
      <w:pPr>
        <w:pStyle w:val="14"/>
      </w:pPr>
      <w:r>
        <w:t xml:space="preserve">1. Introduction</w:t>
      </w:r>
      <w:r/>
    </w:p>
    <w:p>
      <w:pPr>
        <w:jc w:val="both"/>
      </w:pPr>
      <w:r>
        <w:t xml:space="preserve">This document describes the architecture of the JSON-to-document bridge component built on top of the R7-Office DocBuilder SDK. The bridge allows any program to generate richly-formatted DOCX files by supplying a simple, human-readable JSON description — without requiring knowledge of the underlying builder API.</w:t>
      </w:r>
      <w:r/>
    </w:p>
    <w:p>
      <w:pPr>
        <w:jc w:val="both"/>
      </w:pPr>
      <w:r>
        <w:t xml:space="preserve">The solution consists of two parts: a C++ host application that injects the user JSON into a JavaScript execution context, and a bridge script (fromjson.js) that translates the JSON into DocBuilder API calls.</w:t>
      </w:r>
      <w:r/>
    </w:p>
    <w:p>
      <w:pPr>
        <w:pStyle w:val="16"/>
      </w:pPr>
      <w:r>
        <w:t xml:space="preserve">1.1 Goals</w:t>
      </w:r>
      <w:r/>
    </w:p>
    <w:p>
      <w:pPr>
        <w:numPr>
          <w:ilvl w:val="0"/>
          <w:numId w:val="1"/>
        </w:numPr>
      </w:pPr>
      <w:r>
        <w:t xml:space="preserve">Simple, declarative JSON format — no SDK knowledge required from the caller</w:t>
      </w:r>
      <w:r/>
    </w:p>
    <w:p>
      <w:pPr>
        <w:numPr>
          <w:ilvl w:val="0"/>
          <w:numId w:val="1"/>
        </w:numPr>
      </w:pPr>
      <w:r>
        <w:t xml:space="preserve">Support for paragraphs, tables, images, lists, headers and footers</w:t>
      </w:r>
      <w:r/>
    </w:p>
    <w:p>
      <w:pPr>
        <w:numPr>
          <w:ilvl w:val="0"/>
          <w:numId w:val="1"/>
        </w:numPr>
      </w:pPr>
      <w:r>
        <w:t xml:space="preserve">Cross-platform: macOS and Windows</w:t>
      </w:r>
      <w:r/>
    </w:p>
    <w:p>
      <w:pPr>
        <w:numPr>
          <w:ilvl w:val="0"/>
          <w:numId w:val="1"/>
        </w:numPr>
      </w:pPr>
      <w:r>
        <w:t xml:space="preserve">Zero external dependencies beyond the R7-Office installation</w:t>
      </w:r>
      <w:r/>
    </w:p>
    <w:p>
      <w:pPr>
        <w:pStyle w:val="16"/>
      </w:pPr>
      <w:r>
        <w:t xml:space="preserve">1.2 Non-Goals</w:t>
      </w:r>
      <w:r/>
    </w:p>
    <w:p>
      <w:pPr>
        <w:numPr>
          <w:ilvl w:val="0"/>
          <w:numId w:val="2"/>
        </w:numPr>
      </w:pPr>
      <w:r>
        <w:t xml:space="preserve">Full fidelity with every OOXML feature — a subset is sufficient</w:t>
      </w:r>
      <w:r/>
    </w:p>
    <w:p>
      <w:pPr>
        <w:numPr>
          <w:ilvl w:val="0"/>
          <w:numId w:val="2"/>
        </w:numPr>
      </w:pPr>
      <w:r>
        <w:t xml:space="preserve">Template-based generation (handled separately)</w:t>
      </w:r>
      <w:r/>
    </w:p>
    <w:p>
      <w:pPr>
        <w:numPr>
          <w:ilvl w:val="0"/>
          <w:numId w:val="2"/>
        </w:numPr>
      </w:pPr>
      <w:r>
        <w:t xml:space="preserve">PDF output (use x2t for conversion downstream)</w:t>
      </w:r>
      <w:r/>
    </w:p>
    <w:p>
      <w:pPr>
        <w:pStyle w:val="14"/>
      </w:pPr>
      <w:r>
        <w:t xml:space="preserve">2. Component Overview</w:t>
      </w:r>
      <w:r/>
    </w:p>
    <w:p>
      <w:pPr>
        <w:jc w:val="both"/>
      </w:pPr>
      <w:r>
        <w:t xml:space="preserve">The system has three logical layers: </w:t>
      </w:r>
      <w:r>
        <w:rPr>
          <w:b/>
        </w:rPr>
        <w:t xml:space="preserve">CLI host</w:t>
      </w:r>
      <w:r>
        <w:t xml:space="preserve"> (C++), </w:t>
      </w:r>
      <w:r>
        <w:rPr>
          <w:b/>
        </w:rPr>
        <w:t xml:space="preserve">bridge script</w:t>
      </w:r>
      <w:r>
        <w:t xml:space="preserve"> (JS), and </w:t>
      </w:r>
      <w:r>
        <w:rPr>
          <w:b/>
        </w:rPr>
        <w:t xml:space="preserve">DocBuilder runtime</w:t>
      </w:r>
      <w:r>
        <w:t xml:space="preserve"> (shared library). Data flows top-down; the runtime never sees the original JSON directly.</w:t>
      </w:r>
      <w:r/>
    </w:p>
    <w:p>
      <w:pPr>
        <w:pStyle w:val="16"/>
      </w:pPr>
      <w:r>
        <w:t xml:space="preserve">2.1 Responsibilities</w:t>
      </w:r>
      <w:r/>
    </w:p>
    <w:tbl>
      <w:tblPr>
        <w:tblLook w:val="04A0" w:firstRow="1" w:lastRow="0" w:firstColumn="1" w:lastColumn="0" w:noHBand="0" w:noVBand="1"/>
      </w:tblPr>
      <w:tblGrid>
        <w:gridCol w:w="1134"/>
        <w:gridCol w:w="1134"/>
        <w:gridCol w:w="1134"/>
      </w:tblGrid>
      <w:tr>
        <w:tblPrEx/>
        <w:trPr/>
        <w:tc>
          <w:tcPr>
            <w:shd w:val="clear" w:color="1f3a5f" w:fill="1f3a5f"/>
            <w:textDirection w:val="lrTb"/>
            <w:noWrap w:val="false"/>
          </w:tcPr>
          <w:p>
            <w:r/>
          </w:p>
          <w:p>
            <w:r>
              <w:rPr>
                <w:b/>
                <w:color w:val="ffffff"/>
              </w:rPr>
              <w:t xml:space="preserve">Layer</w:t>
            </w:r>
            <w:r/>
          </w:p>
        </w:tc>
        <w:tc>
          <w:tcPr>
            <w:shd w:val="clear" w:color="1f3a5f" w:fill="1f3a5f"/>
            <w:textDirection w:val="lrTb"/>
            <w:noWrap w:val="false"/>
          </w:tcPr>
          <w:p>
            <w:r/>
          </w:p>
          <w:p>
            <w:r>
              <w:rPr>
                <w:b/>
                <w:color w:val="ffffff"/>
              </w:rPr>
              <w:t xml:space="preserve">Language</w:t>
            </w:r>
            <w:r/>
          </w:p>
        </w:tc>
        <w:tc>
          <w:tcPr>
            <w:shd w:val="clear" w:color="1f3a5f" w:fill="1f3a5f"/>
            <w:textDirection w:val="lrTb"/>
            <w:noWrap w:val="false"/>
          </w:tcPr>
          <w:p>
            <w:r/>
          </w:p>
          <w:p>
            <w:r>
              <w:rPr>
                <w:b/>
                <w:color w:val="ffffff"/>
              </w:rPr>
              <w:t xml:space="preserve">Responsibility</w:t>
            </w:r>
            <w:r/>
          </w:p>
        </w:tc>
      </w:tr>
      <w:tr>
        <w:tblPrEx/>
        <w:trPr/>
        <w:tc>
          <w:tcPr>
            <w:shd w:val="clear" w:color="eaf0fb" w:fill="eaf0fb"/>
            <w:textDirection w:val="lrTb"/>
            <w:noWrap w:val="false"/>
          </w:tcPr>
          <w:p>
            <w:r/>
          </w:p>
          <w:p>
            <w:r>
              <w:rPr>
                <w:b/>
              </w:rPr>
              <w:t xml:space="preserve">CLI host</w:t>
            </w:r>
            <w:r/>
          </w:p>
        </w:tc>
        <w:tc>
          <w:tcPr>
            <w:shd w:val="clear" w:color="eaf0fb" w:fill="eaf0fb"/>
            <w:textDirection w:val="lrTb"/>
            <w:noWrap w:val="false"/>
          </w:tcPr>
          <w:p>
            <w:r/>
          </w:p>
          <w:p>
            <w:r>
              <w:t xml:space="preserve">C++17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r>
              <w:t xml:space="preserve">Arg parsing, file I/O, JSON injection, SDK lifecycle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rPr>
                <w:b/>
              </w:rPr>
              <w:t xml:space="preserve">Bridge script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r>
              <w:t xml:space="preserve">ES5 JavaScript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r>
              <w:t xml:space="preserve">JSON → API call translation, formatting, structure</w:t>
            </w:r>
            <w:r/>
          </w:p>
        </w:tc>
      </w:tr>
      <w:tr>
        <w:tblPrEx/>
        <w:trPr/>
        <w:tc>
          <w:tcPr>
            <w:shd w:val="clear" w:color="eaf0fb" w:fill="eaf0fb"/>
            <w:textDirection w:val="lrTb"/>
            <w:noWrap w:val="false"/>
          </w:tcPr>
          <w:p>
            <w:r/>
          </w:p>
          <w:p>
            <w:r>
              <w:rPr>
                <w:b/>
              </w:rPr>
              <w:t xml:space="preserve">Runtime</w:t>
            </w:r>
            <w:r/>
          </w:p>
        </w:tc>
        <w:tc>
          <w:tcPr>
            <w:shd w:val="clear" w:color="eaf0fb" w:fill="eaf0fb"/>
            <w:textDirection w:val="lrTb"/>
            <w:noWrap w:val="false"/>
          </w:tcPr>
          <w:p>
            <w:r/>
          </w:p>
          <w:p>
            <w:r>
              <w:t xml:space="preserve">C++ / V8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r>
              <w:t xml:space="preserve">Executes JS, renders document, writes DOCX</w:t>
            </w:r>
            <w:r/>
          </w:p>
        </w:tc>
      </w:tr>
    </w:tbl>
    <w:p>
      <w:r/>
    </w:p>
    <w:p>
      <w:pPr>
        <w:pStyle w:val="14"/>
      </w:pPr>
      <w:r>
        <w:t xml:space="preserve">3. JSON Schema Reference</w:t>
      </w:r>
      <w:r/>
    </w:p>
    <w:p>
      <w:pPr>
        <w:pStyle w:val="16"/>
      </w:pPr>
      <w:r>
        <w:t xml:space="preserve">3.1 Top-Level Object</w:t>
      </w:r>
      <w:r/>
    </w:p>
    <w:tbl>
      <w:tblPr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</w:tblGrid>
      <w:tr>
        <w:tblPrEx/>
        <w:trPr/>
        <w:tc>
          <w:tcPr>
            <w:shd w:val="clear" w:color="cccccc" w:fill="cccccc"/>
            <w:textDirection w:val="lrTb"/>
            <w:noWrap w:val="false"/>
          </w:tcPr>
          <w:p>
            <w:r/>
          </w:p>
          <w:p>
            <w:r>
              <w:rPr>
                <w:b/>
              </w:rPr>
              <w:t xml:space="preserve">Field</w:t>
            </w:r>
            <w:r/>
          </w:p>
        </w:tc>
        <w:tc>
          <w:tcPr>
            <w:shd w:val="clear" w:color="cccccc" w:fill="cccccc"/>
            <w:textDirection w:val="lrTb"/>
            <w:noWrap w:val="false"/>
          </w:tcPr>
          <w:p>
            <w:r/>
          </w:p>
          <w:p>
            <w:r>
              <w:rPr>
                <w:b/>
              </w:rPr>
              <w:t xml:space="preserve">Type</w:t>
            </w:r>
            <w:r/>
          </w:p>
        </w:tc>
        <w:tc>
          <w:tcPr>
            <w:shd w:val="clear" w:color="cccccc" w:fill="cccccc"/>
            <w:textDirection w:val="lrTb"/>
            <w:noWrap w:val="false"/>
          </w:tcPr>
          <w:p>
            <w:r/>
          </w:p>
          <w:p>
            <w:r>
              <w:rPr>
                <w:b/>
              </w:rPr>
              <w:t xml:space="preserve">Required</w:t>
            </w:r>
            <w:r/>
          </w:p>
        </w:tc>
        <w:tc>
          <w:tcPr>
            <w:shd w:val="clear" w:color="cccccc" w:fill="cccccc"/>
            <w:textDirection w:val="lrTb"/>
            <w:noWrap w:val="false"/>
          </w:tcPr>
          <w:p>
            <w:r/>
          </w:p>
          <w:p>
            <w:r>
              <w:rPr>
                <w:b/>
              </w:rPr>
              <w:t xml:space="preserve">Description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content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r>
              <w:t xml:space="preserve">array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r>
              <w:rPr>
                <w:b/>
                <w:color w:val="006600"/>
              </w:rPr>
              <w:t xml:space="preserve">yes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r>
              <w:t xml:space="preserve">Main body elements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header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r>
              <w:t xml:space="preserve">object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r>
              <w:t xml:space="preserve">no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r>
              <w:t xml:space="preserve">Header definition (content + headerType)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footer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r>
              <w:t xml:space="preserve">object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r>
              <w:t xml:space="preserve">no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r>
              <w:t xml:space="preserve">Footer definition (content + footerType)</w:t>
            </w:r>
            <w:r/>
          </w:p>
        </w:tc>
      </w:tr>
    </w:tbl>
    <w:p>
      <w:r/>
    </w:p>
    <w:p>
      <w:pPr>
        <w:pStyle w:val="16"/>
      </w:pPr>
      <w:r>
        <w:t xml:space="preserve">3.2 Supported Element Types</w:t>
      </w:r>
      <w:r/>
    </w:p>
    <w:p>
      <w:pPr>
        <w:numPr>
          <w:ilvl w:val="0"/>
          <w:numId w:val="1"/>
        </w:numPr>
      </w:pPr>
      <w:r>
        <w:rPr>
          <w:b/>
        </w:rPr>
        <w:t xml:space="preserve">paragraph</w:t>
      </w:r>
      <w:r>
        <w:t xml:space="preserve"> — text block with optional style, alignment, list, runs</w:t>
      </w:r>
      <w:r/>
    </w:p>
    <w:p>
      <w:pPr>
        <w:numPr>
          <w:ilvl w:val="0"/>
          <w:numId w:val="1"/>
        </w:numPr>
      </w:pPr>
      <w:r>
        <w:rPr>
          <w:b/>
        </w:rPr>
        <w:t xml:space="preserve">table</w:t>
      </w:r>
      <w:r>
        <w:t xml:space="preserve"> — rows of cells; each cell is a string or an object with formatting</w:t>
      </w:r>
      <w:r/>
    </w:p>
    <w:p>
      <w:pPr>
        <w:numPr>
          <w:ilvl w:val="0"/>
          <w:numId w:val="1"/>
        </w:numPr>
      </w:pPr>
      <w:r>
        <w:rPr>
          <w:b/>
        </w:rPr>
        <w:t xml:space="preserve">image</w:t>
      </w:r>
      <w:r>
        <w:t xml:space="preserve"> — inline image from a local file path; width/height in cm</w:t>
      </w:r>
      <w:r/>
    </w:p>
    <w:p>
      <w:pPr>
        <w:numPr>
          <w:ilvl w:val="0"/>
          <w:numId w:val="1"/>
        </w:numPr>
      </w:pPr>
      <w:r>
        <w:rPr>
          <w:b/>
        </w:rPr>
        <w:t xml:space="preserve">pageBreak</w:t>
      </w:r>
      <w:r>
        <w:t xml:space="preserve"> — inserts a hard page break</w:t>
      </w:r>
      <w:r/>
    </w:p>
    <w:p>
      <w:pPr>
        <w:pStyle w:val="14"/>
      </w:pPr>
      <w:r>
        <w:t xml:space="preserve">4. Implementation Notes</w:t>
      </w:r>
      <w:r/>
    </w:p>
    <w:p>
      <w:pPr>
        <w:pStyle w:val="16"/>
      </w:pPr>
      <w:r>
        <w:t xml:space="preserve">4.1 Image Dimensions</w:t>
      </w:r>
      <w:r/>
    </w:p>
    <w:p>
      <w:pPr>
        <w:jc w:val="both"/>
      </w:pPr>
      <w:r>
        <w:t xml:space="preserve">The DocBuilder API expects image sizes in </w:t>
      </w:r>
      <w:r>
        <w:rPr>
          <w:i/>
        </w:rPr>
        <w:t xml:space="preserve">EMU (English Metric Units)</w:t>
      </w:r>
      <w:r>
        <w:t xml:space="preserve"> where </w:t>
      </w:r>
      <w:r>
        <w:rPr>
          <w:b/>
          <w:color w:val="003388"/>
        </w:rPr>
        <w:t xml:space="preserve">1 cm = 360 000 EMU</w:t>
      </w:r>
      <w:r>
        <w:t xml:space="preserve">. The bridge converts from centimetres automatically: </w:t>
      </w:r>
      <w:r>
        <w:rPr>
          <w:b/>
          <w:color w:val="555555"/>
        </w:rPr>
        <w:t xml:space="preserve">wEMU = Math.round(width * 360000)</w:t>
      </w:r>
      <w:r>
        <w:t xml:space="preserve">.</w:t>
      </w:r>
      <w:r/>
    </w:p>
    <w:p>
      <w:pPr>
        <w:pStyle w:val="16"/>
      </w:pPr>
      <w:r>
        <w:t xml:space="preserve">4.2 Font Size Units</w:t>
      </w:r>
      <w:r/>
    </w:p>
    <w:p>
      <w:pPr>
        <w:jc w:val="both"/>
      </w:pPr>
      <w:r>
        <w:t xml:space="preserve">DocBuilder's </w:t>
      </w:r>
      <w:r>
        <w:rPr>
          <w:b/>
          <w:color w:val="555555"/>
        </w:rPr>
        <w:t xml:space="preserve">SetFontSize()</w:t>
      </w:r>
      <w:r>
        <w:t xml:space="preserve"> accepts </w:t>
      </w:r>
      <w:r>
        <w:rPr>
          <w:i/>
        </w:rPr>
        <w:t xml:space="preserve">half-points</w:t>
      </w:r>
      <w:r>
        <w:t xml:space="preserve">. To specify 12 pt the bridge calls </w:t>
      </w:r>
      <w:r>
        <w:rPr>
          <w:b/>
          <w:color w:val="555555"/>
        </w:rPr>
        <w:t xml:space="preserve">SetFontSize(24)</w:t>
      </w:r>
      <w:r>
        <w:t xml:space="preserve">. The JSON format uses conventional points; the bridge multiplies by 2.</w:t>
      </w:r>
      <w:r/>
    </w:p>
    <w:p>
      <w:pPr>
        <w:pStyle w:val="16"/>
      </w:pPr>
      <w:r>
        <w:t xml:space="preserve">4.3 Alignment Values</w:t>
      </w:r>
      <w:r/>
    </w:p>
    <w:tbl>
      <w:tblPr>
        <w:tblLook w:val="04A0" w:firstRow="1" w:lastRow="0" w:firstColumn="1" w:lastColumn="0" w:noHBand="0" w:noVBand="1"/>
      </w:tblPr>
      <w:tblGrid>
        <w:gridCol w:w="1134"/>
        <w:gridCol w:w="1134"/>
      </w:tblGrid>
      <w:tr>
        <w:tblPrEx/>
        <w:trPr/>
        <w:tc>
          <w:tcPr>
            <w:shd w:val="clear" w:color="cccccc" w:fill="cccccc"/>
            <w:textDirection w:val="lrTb"/>
            <w:noWrap w:val="false"/>
          </w:tcPr>
          <w:p>
            <w:r/>
          </w:p>
          <w:p>
            <w:r>
              <w:rPr>
                <w:b/>
              </w:rPr>
              <w:t xml:space="preserve">JSON value</w:t>
            </w:r>
            <w:r/>
          </w:p>
        </w:tc>
        <w:tc>
          <w:tcPr>
            <w:shd w:val="clear" w:color="cccccc" w:fill="cccccc"/>
            <w:textDirection w:val="lrTb"/>
            <w:noWrap w:val="false"/>
          </w:tcPr>
          <w:p>
            <w:r/>
          </w:p>
          <w:p>
            <w:r>
              <w:rPr>
                <w:b/>
              </w:rPr>
              <w:t xml:space="preserve">SDK SetJc() value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left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r>
              <w:t xml:space="preserve">"left"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center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r>
              <w:t xml:space="preserve">"center"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right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r>
              <w:t xml:space="preserve">"right"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justify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r>
              <w:t xml:space="preserve">"both"</w:t>
            </w:r>
            <w:r/>
          </w:p>
        </w:tc>
      </w:tr>
    </w:tbl>
    <w:p>
      <w:r/>
    </w:p>
    <w:p>
      <w:r>
        <w:br w:type="page" w:clear="all"/>
      </w:r>
      <w:r/>
    </w:p>
    <w:p>
      <w:pPr>
        <w:pStyle w:val="14"/>
      </w:pPr>
      <w:r>
        <w:t xml:space="preserve">5. Appendix — Full JSON Example</w:t>
      </w:r>
      <w:r/>
    </w:p>
    <w:p>
      <w:pPr>
        <w:jc w:val="both"/>
      </w:pPr>
      <w:r>
        <w:t xml:space="preserve">The following table summarises all formatting combinations verified during development testing:</w:t>
      </w:r>
      <w:r/>
    </w:p>
    <w:tbl>
      <w:tblPr>
        <w:tblLook w:val="04A0" w:firstRow="1" w:lastRow="0" w:firstColumn="1" w:lastColumn="0" w:noHBand="0" w:noVBand="1"/>
      </w:tblPr>
      <w:tblGrid>
        <w:gridCol w:w="1134"/>
        <w:gridCol w:w="1134"/>
        <w:gridCol w:w="1134"/>
      </w:tblGrid>
      <w:tr>
        <w:tblPrEx/>
        <w:trPr/>
        <w:tc>
          <w:tcPr>
            <w:shd w:val="clear" w:color="2c3e50" w:fill="2c3e50"/>
            <w:textDirection w:val="lrTb"/>
            <w:noWrap w:val="false"/>
          </w:tcPr>
          <w:p>
            <w:r/>
          </w:p>
          <w:p>
            <w:r>
              <w:rPr>
                <w:b/>
                <w:color w:val="ffffff"/>
              </w:rPr>
              <w:t xml:space="preserve">Feature</w:t>
            </w:r>
            <w:r/>
          </w:p>
        </w:tc>
        <w:tc>
          <w:tcPr>
            <w:shd w:val="clear" w:color="2c3e50" w:fill="2c3e50"/>
            <w:textDirection w:val="lrTb"/>
            <w:noWrap w:val="false"/>
          </w:tcPr>
          <w:p>
            <w:r/>
          </w:p>
          <w:p>
            <w:pPr>
              <w:jc w:val="center"/>
            </w:pPr>
            <w:r>
              <w:rPr>
                <w:b/>
                <w:color w:val="ffffff"/>
              </w:rPr>
              <w:t xml:space="preserve">Tested</w:t>
            </w:r>
            <w:r/>
          </w:p>
        </w:tc>
        <w:tc>
          <w:tcPr>
            <w:shd w:val="clear" w:color="2c3e50" w:fill="2c3e50"/>
            <w:textDirection w:val="lrTb"/>
            <w:noWrap w:val="false"/>
          </w:tcPr>
          <w:p>
            <w:r/>
          </w:p>
          <w:p>
            <w:r>
              <w:rPr>
                <w:b/>
                <w:color w:val="ffffff"/>
              </w:rPr>
              <w:t xml:space="preserve">Notes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Basic paragraphs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center"/>
            </w:pPr>
            <w:r>
              <w:rPr>
                <w:b/>
                <w:color w:val="006600"/>
              </w:rPr>
              <w:t xml:space="preserve">✓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r>
              <w:t xml:space="preserve">Heading 1–3, Normal, alignment variants</w:t>
            </w:r>
            <w:r/>
          </w:p>
        </w:tc>
      </w:tr>
      <w:tr>
        <w:tblPrEx/>
        <w:trPr/>
        <w:tc>
          <w:tcPr>
            <w:shd w:val="clear" w:color="f2f2f2" w:fill="f2f2f2"/>
            <w:textDirection w:val="lrTb"/>
            <w:noWrap w:val="false"/>
          </w:tcPr>
          <w:p>
            <w:r/>
          </w:p>
          <w:p>
            <w:r>
              <w:t xml:space="preserve">Text formatting</w:t>
            </w:r>
            <w:r/>
          </w:p>
        </w:tc>
        <w:tc>
          <w:tcPr>
            <w:shd w:val="clear" w:color="f2f2f2" w:fill="f2f2f2"/>
            <w:textDirection w:val="lrTb"/>
            <w:noWrap w:val="false"/>
          </w:tcPr>
          <w:p>
            <w:r/>
          </w:p>
          <w:p>
            <w:pPr>
              <w:jc w:val="center"/>
            </w:pPr>
            <w:r>
              <w:rPr>
                <w:b/>
                <w:color w:val="006600"/>
              </w:rPr>
              <w:t xml:space="preserve">✓</w:t>
            </w:r>
            <w:r/>
          </w:p>
        </w:tc>
        <w:tc>
          <w:tcPr>
            <w:shd w:val="clear" w:color="f2f2f2" w:fill="f2f2f2"/>
            <w:textDirection w:val="lrTb"/>
            <w:noWrap w:val="false"/>
          </w:tcPr>
          <w:p>
            <w:r/>
          </w:p>
          <w:p>
            <w:r>
              <w:t xml:space="preserve">Bold, italic, underline, color, size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Lists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center"/>
            </w:pPr>
            <w:r>
              <w:rPr>
                <w:b/>
                <w:color w:val="006600"/>
              </w:rPr>
              <w:t xml:space="preserve">✓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r>
              <w:t xml:space="preserve">Bullet &amp; numbered, 3 levels deep</w:t>
            </w:r>
            <w:r/>
          </w:p>
        </w:tc>
      </w:tr>
      <w:tr>
        <w:tblPrEx/>
        <w:trPr/>
        <w:tc>
          <w:tcPr>
            <w:shd w:val="clear" w:color="f2f2f2" w:fill="f2f2f2"/>
            <w:textDirection w:val="lrTb"/>
            <w:noWrap w:val="false"/>
          </w:tcPr>
          <w:p>
            <w:r/>
          </w:p>
          <w:p>
            <w:r>
              <w:t xml:space="preserve">Tables</w:t>
            </w:r>
            <w:r/>
          </w:p>
        </w:tc>
        <w:tc>
          <w:tcPr>
            <w:shd w:val="clear" w:color="f2f2f2" w:fill="f2f2f2"/>
            <w:textDirection w:val="lrTb"/>
            <w:noWrap w:val="false"/>
          </w:tcPr>
          <w:p>
            <w:r/>
          </w:p>
          <w:p>
            <w:pPr>
              <w:jc w:val="center"/>
            </w:pPr>
            <w:r>
              <w:rPr>
                <w:b/>
                <w:color w:val="006600"/>
              </w:rPr>
              <w:t xml:space="preserve">✓</w:t>
            </w:r>
            <w:r/>
          </w:p>
        </w:tc>
        <w:tc>
          <w:tcPr>
            <w:shd w:val="clear" w:color="f2f2f2" w:fill="f2f2f2"/>
            <w:textDirection w:val="lrTb"/>
            <w:noWrap w:val="false"/>
          </w:tcPr>
          <w:p>
            <w:r/>
          </w:p>
          <w:p>
            <w:r>
              <w:t xml:space="preserve">Cell background, alignment, bold cells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Images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center"/>
            </w:pPr>
            <w:r>
              <w:rPr>
                <w:b/>
                <w:color w:val="006600"/>
              </w:rPr>
              <w:t xml:space="preserve">✓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r>
              <w:t xml:space="preserve">Local file, cm dimensions</w:t>
            </w:r>
            <w:r/>
          </w:p>
        </w:tc>
      </w:tr>
      <w:tr>
        <w:tblPrEx/>
        <w:trPr/>
        <w:tc>
          <w:tcPr>
            <w:shd w:val="clear" w:color="f2f2f2" w:fill="f2f2f2"/>
            <w:textDirection w:val="lrTb"/>
            <w:noWrap w:val="false"/>
          </w:tcPr>
          <w:p>
            <w:r/>
          </w:p>
          <w:p>
            <w:r>
              <w:t xml:space="preserve">Header / footer</w:t>
            </w:r>
            <w:r/>
          </w:p>
        </w:tc>
        <w:tc>
          <w:tcPr>
            <w:shd w:val="clear" w:color="f2f2f2" w:fill="f2f2f2"/>
            <w:textDirection w:val="lrTb"/>
            <w:noWrap w:val="false"/>
          </w:tcPr>
          <w:p>
            <w:r/>
          </w:p>
          <w:p>
            <w:pPr>
              <w:jc w:val="center"/>
            </w:pPr>
            <w:r>
              <w:rPr>
                <w:b/>
                <w:color w:val="006600"/>
              </w:rPr>
              <w:t xml:space="preserve">✓</w:t>
            </w:r>
            <w:r/>
          </w:p>
        </w:tc>
        <w:tc>
          <w:tcPr>
            <w:shd w:val="clear" w:color="f2f2f2" w:fill="f2f2f2"/>
            <w:textDirection w:val="lrTb"/>
            <w:noWrap w:val="false"/>
          </w:tcPr>
          <w:p>
            <w:r/>
          </w:p>
          <w:p>
            <w:r>
              <w:t xml:space="preserve">Multi-run, aligned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Page breaks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center"/>
            </w:pPr>
            <w:r>
              <w:rPr>
                <w:b/>
                <w:color w:val="006600"/>
              </w:rPr>
              <w:t xml:space="preserve">✓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r>
              <w:t xml:space="preserve">Multiple pages verified</w:t>
            </w:r>
            <w:r/>
          </w:p>
        </w:tc>
      </w:tr>
    </w:tbl>
    <w:p>
      <w:r/>
    </w:p>
    <w:p>
      <w:pPr>
        <w:jc w:val="center"/>
      </w:pPr>
      <w:r>
        <w:rPr>
          <w:i/>
          <w:color w:val="888888"/>
          <w:sz w:val="20"/>
        </w:rPr>
        <w:t xml:space="preserve">— End of Document —</w:t>
      </w:r>
      <w:r/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/>
  <w:font w:name="Courier New"/>
  <w:font w:name="Symbol"/>
  <w:font w:name="Liberation Sans"/>
  <w:font w:name="Calibri"/>
  <w:font w:name="Times New Roman"/>
  <w:font w:name="Cambria"/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</w:p>
  <w:p>
    <w:r>
      <w:rPr>
        <w:color w:val="888888"/>
        <w:sz w:val="16"/>
      </w:rPr>
      <w:t xml:space="preserve">© 2025 Acme Corp. All rights reserved.</w: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</w:p>
  <w:p>
    <w:pPr>
      <w:jc w:val="right"/>
    </w:pPr>
    <w:r>
      <w:rPr>
        <w:b/>
        <w:sz w:val="18"/>
      </w:rPr>
      <w:t xml:space="preserve">Technical Specification  </w:t>
    </w:r>
    <w:r>
      <w:rPr>
        <w:color w:val="888888"/>
        <w:sz w:val="18"/>
      </w:rPr>
      <w:t xml:space="preserve">v1.0</w: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18"/>
    <w:next w:val="618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12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18"/>
    <w:next w:val="618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12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18"/>
    <w:next w:val="618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12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18"/>
    <w:next w:val="618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12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18"/>
    <w:next w:val="618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12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18"/>
    <w:next w:val="618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12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18"/>
    <w:next w:val="618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12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18"/>
    <w:next w:val="618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12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18"/>
    <w:next w:val="618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12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5">
    <w:name w:val="Title"/>
    <w:basedOn w:val="618"/>
    <w:next w:val="618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12"/>
    <w:link w:val="35"/>
    <w:uiPriority w:val="10"/>
    <w:rPr>
      <w:sz w:val="48"/>
      <w:szCs w:val="48"/>
    </w:rPr>
  </w:style>
  <w:style w:type="paragraph" w:styleId="37">
    <w:name w:val="Subtitle"/>
    <w:basedOn w:val="618"/>
    <w:next w:val="618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12"/>
    <w:link w:val="37"/>
    <w:uiPriority w:val="11"/>
    <w:rPr>
      <w:sz w:val="24"/>
      <w:szCs w:val="24"/>
    </w:rPr>
  </w:style>
  <w:style w:type="paragraph" w:styleId="39">
    <w:name w:val="Quote"/>
    <w:basedOn w:val="618"/>
    <w:next w:val="618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18"/>
    <w:next w:val="618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18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12"/>
    <w:link w:val="43"/>
    <w:uiPriority w:val="99"/>
  </w:style>
  <w:style w:type="paragraph" w:styleId="45">
    <w:name w:val="Footer"/>
    <w:basedOn w:val="61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12"/>
    <w:link w:val="45"/>
    <w:uiPriority w:val="99"/>
  </w:style>
  <w:style w:type="paragraph" w:styleId="47">
    <w:name w:val="Caption"/>
    <w:basedOn w:val="618"/>
    <w:next w:val="618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12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61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149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150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151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152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153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154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6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7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8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9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0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1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3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4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5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6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7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8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18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12"/>
    <w:uiPriority w:val="99"/>
    <w:unhideWhenUsed/>
    <w:rPr>
      <w:vertAlign w:val="superscript"/>
    </w:rPr>
  </w:style>
  <w:style w:type="paragraph" w:styleId="179">
    <w:name w:val="endnote text"/>
    <w:basedOn w:val="618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12"/>
    <w:uiPriority w:val="99"/>
    <w:semiHidden/>
    <w:unhideWhenUsed/>
    <w:rPr>
      <w:vertAlign w:val="superscript"/>
    </w:rPr>
  </w:style>
  <w:style w:type="paragraph" w:styleId="182">
    <w:name w:val="toc 1"/>
    <w:basedOn w:val="618"/>
    <w:next w:val="618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18"/>
    <w:next w:val="618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18"/>
    <w:next w:val="618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18"/>
    <w:next w:val="618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18"/>
    <w:next w:val="618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18"/>
    <w:next w:val="618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18"/>
    <w:next w:val="618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18"/>
    <w:next w:val="618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18"/>
    <w:next w:val="618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18"/>
    <w:next w:val="618"/>
    <w:uiPriority w:val="99"/>
    <w:unhideWhenUsed/>
    <w:pPr>
      <w:spacing w:after="0" w:afterAutospacing="0"/>
    </w:pPr>
  </w:style>
  <w:style w:type="paragraph" w:styleId="618" w:default="1">
    <w:name w:val="Normal"/>
    <w:qFormat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paragraph" w:styleId="621">
    <w:name w:val="No Spacing"/>
    <w:basedOn w:val="618"/>
    <w:uiPriority w:val="1"/>
    <w:qFormat/>
    <w:pPr>
      <w:spacing w:after="0" w:line="240" w:lineRule="auto"/>
    </w:pPr>
  </w:style>
  <w:style w:type="paragraph" w:styleId="622">
    <w:name w:val="List Paragraph"/>
    <w:basedOn w:val="618"/>
    <w:uiPriority w:val="34"/>
    <w:qFormat/>
    <w:pPr>
      <w:contextualSpacing/>
      <w:ind w:left="720"/>
    </w:pPr>
  </w:style>
  <w:style w:type="character" w:styleId="627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x420x37x2Dx41Ex444x438x441/2026.1.1.1805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Unknown.User</cp:lastModifiedBy>
  <cp:revision>1</cp:revision>
  <dcterms:modified xsi:type="dcterms:W3CDTF">2026-04-28T21:31:15Z</dcterms:modified>
</cp:coreProperties>
</file>